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DA6B" w14:textId="35B7090D" w:rsidR="00270D0B" w:rsidRDefault="00CC1E4F" w:rsidP="00CC1E4F">
      <w:pPr>
        <w:spacing w:before="240" w:line="271" w:lineRule="auto"/>
        <w:jc w:val="center"/>
      </w:pPr>
      <w:bookmarkStart w:id="0" w:name="chapitre_3"/>
      <w:r>
        <w:rPr>
          <w:b/>
          <w:sz w:val="42"/>
        </w:rPr>
        <w:t>CHAPITRE 3</w:t>
      </w:r>
      <w:bookmarkEnd w:id="0"/>
      <w:r>
        <w:rPr>
          <w:b/>
          <w:sz w:val="42"/>
        </w:rPr>
        <w:t> </w:t>
      </w:r>
      <w:r>
        <w:rPr>
          <w:b/>
          <w:sz w:val="42"/>
        </w:rPr>
        <w:t>:</w:t>
      </w:r>
      <w:bookmarkStart w:id="1" w:name="sélection_de_modèle_et_évaluation"/>
      <w:r>
        <w:t xml:space="preserve"> </w:t>
      </w:r>
      <w:r w:rsidRPr="00CC1E4F">
        <w:rPr>
          <w:rFonts w:eastAsia="Times New Roman" w:hAnsi="Times New Roman" w:cs="Times New Roman"/>
          <w:b/>
          <w:sz w:val="36"/>
          <w:szCs w:val="36"/>
        </w:rPr>
        <w:t>SELECTION DE MODELE ET EVALUATION</w:t>
      </w:r>
      <w:bookmarkEnd w:id="1"/>
    </w:p>
    <w:p w14:paraId="349C1FFE" w14:textId="77777777" w:rsidR="00CC1E4F" w:rsidRDefault="00CC1E4F" w:rsidP="00BB1727">
      <w:pPr>
        <w:spacing w:after="280"/>
        <w:jc w:val="both"/>
        <w:rPr>
          <w:rFonts w:eastAsia="Times New Roman" w:hAnsi="Times New Roman" w:cs="Times New Roman"/>
        </w:rPr>
      </w:pPr>
      <w:r>
        <w:rPr>
          <w:rFonts w:eastAsia="Times New Roman" w:hAnsi="Times New Roman" w:cs="Times New Roman"/>
        </w:rPr>
        <w:tab/>
      </w:r>
    </w:p>
    <w:p w14:paraId="3A25F983" w14:textId="648433C7"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Nous avons formalisé au chapitre 2 l’apprentissage supervisé comme la recherche d’un modèle dont l’erreur empirique est minimale sur un ensemble donné d’observations. Cependant, minimiser cette erreur empirique ne garantit pas de minimiser l’erreur du modèle sur la totalité de l’espace des données. En effet, dans une situation de sur-apprentissage, l’erreur du modèle sera sous-estimée. C’est cependant cette erreur, ou, en d’autres mots, notre capacité à faire des prédictions sur des choses qui ne sont pas connues, qui nous intéresse. Ce chapitre présente comment mettre en place un cadre expérimental qui permette d’évaluer un modèle en évitant le biais du sur-apprentissage. Dans cette optique, nous veillerons à distinguer l’évaluation d’un modèle, qui consiste à déterminer sa performance sur l’espace des données dans sa totalité, de sa sélection, qui consiste à choisir le meilleur modèle parmi plusieurs.</w:t>
      </w:r>
    </w:p>
    <w:p w14:paraId="5DE1EABC" w14:textId="77777777" w:rsidR="00270D0B" w:rsidRDefault="00BB1727" w:rsidP="00BB1727">
      <w:pPr>
        <w:spacing w:before="240" w:line="271" w:lineRule="auto"/>
        <w:jc w:val="both"/>
      </w:pPr>
      <w:bookmarkStart w:id="2" w:name="objectifs"/>
      <w:r>
        <w:rPr>
          <w:b/>
          <w:sz w:val="42"/>
        </w:rPr>
        <w:t>Objectifs</w:t>
      </w:r>
      <w:bookmarkEnd w:id="2"/>
    </w:p>
    <w:p w14:paraId="3EF70776" w14:textId="77777777" w:rsidR="00270D0B" w:rsidRDefault="00BB1727" w:rsidP="00BB1727">
      <w:pPr>
        <w:numPr>
          <w:ilvl w:val="0"/>
          <w:numId w:val="1"/>
        </w:numPr>
        <w:jc w:val="both"/>
      </w:pPr>
      <w:r>
        <w:rPr>
          <w:rFonts w:eastAsia="Times New Roman" w:hAnsi="Times New Roman" w:cs="Times New Roman"/>
        </w:rPr>
        <w:t>concevoir un cadre expérimental dans lequel sélectionner un modèle d’apprentissage supervisé;</w:t>
      </w:r>
    </w:p>
    <w:p w14:paraId="25E6198D" w14:textId="77777777" w:rsidR="00270D0B" w:rsidRDefault="00BB1727" w:rsidP="00BB1727">
      <w:pPr>
        <w:numPr>
          <w:ilvl w:val="0"/>
          <w:numId w:val="1"/>
        </w:numPr>
        <w:jc w:val="both"/>
      </w:pPr>
      <w:r>
        <w:rPr>
          <w:rFonts w:eastAsia="Times New Roman" w:hAnsi="Times New Roman" w:cs="Times New Roman"/>
        </w:rPr>
        <w:t>choisir un ou des critères d’évaluation d’un modèle d’apprentissage supervisé;</w:t>
      </w:r>
    </w:p>
    <w:p w14:paraId="076F0E58" w14:textId="77777777" w:rsidR="00270D0B" w:rsidRDefault="00BB1727" w:rsidP="00BB1727">
      <w:pPr>
        <w:numPr>
          <w:ilvl w:val="0"/>
          <w:numId w:val="1"/>
        </w:numPr>
        <w:jc w:val="both"/>
      </w:pPr>
      <w:r>
        <w:rPr>
          <w:rFonts w:eastAsia="Times New Roman" w:hAnsi="Times New Roman" w:cs="Times New Roman"/>
        </w:rPr>
        <w:t>estimer la performance en généralisation d’un modèle d’apprentissage supervisé.</w:t>
      </w:r>
    </w:p>
    <w:p w14:paraId="4A85EA75" w14:textId="3EC357B3"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 xml:space="preserve">Le théorème du no free lunch de </w:t>
      </w:r>
      <w:proofErr w:type="spellStart"/>
      <w:r w:rsidR="00BB1727">
        <w:rPr>
          <w:rFonts w:eastAsia="Times New Roman" w:hAnsi="Times New Roman" w:cs="Times New Roman"/>
        </w:rPr>
        <w:t>Wolpert</w:t>
      </w:r>
      <w:proofErr w:type="spellEnd"/>
      <w:r w:rsidR="00BB1727">
        <w:rPr>
          <w:rFonts w:eastAsia="Times New Roman" w:hAnsi="Times New Roman" w:cs="Times New Roman"/>
        </w:rPr>
        <w:t xml:space="preserve"> et </w:t>
      </w:r>
      <w:proofErr w:type="spellStart"/>
      <w:r w:rsidR="00BB1727">
        <w:rPr>
          <w:rFonts w:eastAsia="Times New Roman" w:hAnsi="Times New Roman" w:cs="Times New Roman"/>
        </w:rPr>
        <w:t>Macready</w:t>
      </w:r>
      <w:proofErr w:type="spellEnd"/>
      <w:r w:rsidR="00BB1727">
        <w:rPr>
          <w:rFonts w:eastAsia="Times New Roman" w:hAnsi="Times New Roman" w:cs="Times New Roman"/>
        </w:rPr>
        <w:t xml:space="preserve"> (1997) indique qu’aucun algorithme de machine </w:t>
      </w:r>
      <w:proofErr w:type="spellStart"/>
      <w:r w:rsidR="00BB1727">
        <w:rPr>
          <w:rFonts w:eastAsia="Times New Roman" w:hAnsi="Times New Roman" w:cs="Times New Roman"/>
        </w:rPr>
        <w:t>learning</w:t>
      </w:r>
      <w:proofErr w:type="spellEnd"/>
      <w:r w:rsidR="00BB1727">
        <w:rPr>
          <w:rFonts w:eastAsia="Times New Roman" w:hAnsi="Times New Roman" w:cs="Times New Roman"/>
        </w:rPr>
        <w:t xml:space="preserve"> ne peut bien fonctionner pour tous les problèmes d’apprentissage : un algorithme qui fonctionne bien sur un type particulier de problèmes le compensera en fonctionnant moins bien sur d’autres types de problèmes. En d’autres termes, il n’y a pas de « baguette magique » qui puisse résoudre tous nos problèmes de machine </w:t>
      </w:r>
      <w:proofErr w:type="spellStart"/>
      <w:r w:rsidR="00BB1727">
        <w:rPr>
          <w:rFonts w:eastAsia="Times New Roman" w:hAnsi="Times New Roman" w:cs="Times New Roman"/>
        </w:rPr>
        <w:t>learning</w:t>
      </w:r>
      <w:proofErr w:type="spellEnd"/>
      <w:r w:rsidR="00BB1727">
        <w:rPr>
          <w:rFonts w:eastAsia="Times New Roman" w:hAnsi="Times New Roman" w:cs="Times New Roman"/>
        </w:rPr>
        <w:t xml:space="preserve">, et il est donc essentiel, pour un problème donné, de tester plusieurs possibilités afin de sélectionner le modèle optimal. Notons au passage que plusieurs critères peuvent intervenir dans ce choix : non seulement celui de la qualité des prédictions, qui nous intéresse dans ce chapitre, mais aussi celui des </w:t>
      </w:r>
      <w:r w:rsidR="00BB1727">
        <w:rPr>
          <w:rFonts w:eastAsia="Times New Roman" w:hAnsi="Times New Roman" w:cs="Times New Roman"/>
        </w:rPr>
        <w:lastRenderedPageBreak/>
        <w:t>ressources de calcul nécessaires, qui peuvent être un facteur limitant en pratique.</w:t>
      </w:r>
    </w:p>
    <w:p w14:paraId="0E8075F4" w14:textId="2DAB4E95" w:rsidR="00270D0B" w:rsidRPr="00CC1E4F" w:rsidRDefault="00CC1E4F" w:rsidP="00CC1E4F">
      <w:pPr>
        <w:pStyle w:val="2"/>
        <w:jc w:val="center"/>
        <w:rPr>
          <w:rFonts w:ascii="Times New Roman" w:hAnsi="Times New Roman" w:cs="Times New Roman"/>
          <w:b/>
          <w:bCs/>
          <w:sz w:val="28"/>
          <w:szCs w:val="28"/>
        </w:rPr>
      </w:pPr>
      <w:bookmarkStart w:id="3" w:name="bm_3_1_estimation_empirique_de_l_d5c9dc"/>
      <w:r w:rsidRPr="00CC1E4F">
        <w:rPr>
          <w:rFonts w:ascii="Times New Roman" w:eastAsia="Times New Roman" w:hAnsi="Times New Roman" w:cs="Times New Roman"/>
          <w:b/>
          <w:bCs/>
          <w:sz w:val="28"/>
          <w:szCs w:val="28"/>
        </w:rPr>
        <w:t>3.1 ESTIMATION EMPIRIQUE DE L’ERREUR DE GENERALISATION</w:t>
      </w:r>
      <w:bookmarkEnd w:id="3"/>
    </w:p>
    <w:p w14:paraId="7139D73F" w14:textId="5131BEFD"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L’erreur empirique mesurée sur les observations qui ont permis de construire le modèle est un mauvais estimateur de l’erreur du modèle sur l’ensemble des données possibles, ou erreur de généralisation : si le modèle sur-apprend, cette erreur empirique peut être proche de zéro voire nulle, tandis que l’erreur de généralisation peut être arbitrairement grande. L’erreur de généralisation est ainsi un autre nom du risque défini au chapitre 2.</w:t>
      </w:r>
    </w:p>
    <w:p w14:paraId="53038246" w14:textId="77777777" w:rsidR="00270D0B" w:rsidRPr="00CC1E4F" w:rsidRDefault="00BB1727" w:rsidP="00CC1E4F">
      <w:pPr>
        <w:pStyle w:val="3"/>
        <w:spacing w:line="360" w:lineRule="auto"/>
        <w:rPr>
          <w:rFonts w:ascii="Times New Roman" w:hAnsi="Times New Roman" w:cs="Times New Roman"/>
          <w:b/>
          <w:bCs/>
          <w:color w:val="auto"/>
          <w:sz w:val="28"/>
          <w:szCs w:val="28"/>
        </w:rPr>
      </w:pPr>
      <w:bookmarkStart w:id="4" w:name="bm_3_1_1_jeu_de_test"/>
      <w:r w:rsidRPr="00CC1E4F">
        <w:rPr>
          <w:rFonts w:ascii="Times New Roman" w:hAnsi="Times New Roman" w:cs="Times New Roman"/>
          <w:b/>
          <w:bCs/>
          <w:color w:val="auto"/>
          <w:sz w:val="28"/>
          <w:szCs w:val="28"/>
        </w:rPr>
        <w:t>3.1.1 Jeu de test</w:t>
      </w:r>
      <w:bookmarkEnd w:id="4"/>
    </w:p>
    <w:p w14:paraId="48A990F8" w14:textId="77575C2E"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Il est donc indispensable d'utiliser pour évaluer un modèle des données étiquetées qui n'ont pas servi à le construire. La manière la plus simple d'y parvenir est de mettre de côté une partie des observations, réservées à l'évaluation du modèle, et d'utiliser uniquement le reste des données pour le construire.</w:t>
      </w:r>
    </w:p>
    <w:p w14:paraId="173764F1" w14:textId="77777777" w:rsidR="00CC1E4F" w:rsidRPr="00CC1E4F" w:rsidRDefault="00CC1E4F" w:rsidP="00CC1E4F">
      <w:pPr>
        <w:rPr>
          <w:b/>
          <w:bCs/>
        </w:rPr>
      </w:pPr>
      <w:r w:rsidRPr="00CC1E4F">
        <w:rPr>
          <w:b/>
          <w:bCs/>
        </w:rPr>
        <w:tab/>
      </w:r>
      <w:r w:rsidR="00BB1727" w:rsidRPr="00CC1E4F">
        <w:rPr>
          <w:b/>
          <w:bCs/>
        </w:rPr>
        <w:t>D</w:t>
      </w:r>
      <w:r w:rsidR="00BB1727" w:rsidRPr="00CC1E4F">
        <w:rPr>
          <w:b/>
          <w:bCs/>
        </w:rPr>
        <w:t>é</w:t>
      </w:r>
      <w:r w:rsidR="00BB1727" w:rsidRPr="00CC1E4F">
        <w:rPr>
          <w:b/>
          <w:bCs/>
        </w:rPr>
        <w:t>finition3.1 (Jeu de test, jeu d'entra</w:t>
      </w:r>
      <w:r w:rsidR="00BB1727" w:rsidRPr="00CC1E4F">
        <w:rPr>
          <w:b/>
          <w:bCs/>
        </w:rPr>
        <w:t>î</w:t>
      </w:r>
      <w:r w:rsidR="00BB1727" w:rsidRPr="00CC1E4F">
        <w:rPr>
          <w:b/>
          <w:bCs/>
        </w:rPr>
        <w:t>nement)</w:t>
      </w:r>
    </w:p>
    <w:p w14:paraId="1598E57D" w14:textId="79CA650D" w:rsidR="00270D0B" w:rsidRDefault="00CC1E4F" w:rsidP="00CC1E4F">
      <w:r w:rsidRPr="00CC1E4F">
        <w:tab/>
      </w:r>
      <w:r w:rsidR="00BB1727" w:rsidRPr="00CC1E4F">
        <w:t>É</w:t>
      </w:r>
      <w:r w:rsidR="00BB1727" w:rsidRPr="00CC1E4F">
        <w:t>tant donn</w:t>
      </w:r>
      <w:r w:rsidR="00BB1727" w:rsidRPr="00CC1E4F">
        <w:t>é</w:t>
      </w:r>
      <w:r w:rsidR="00BB1727" w:rsidRPr="00CC1E4F">
        <w:t xml:space="preserve"> un jeu de donn</w:t>
      </w:r>
      <w:r w:rsidR="00BB1727" w:rsidRPr="00CC1E4F">
        <w:t>é</w:t>
      </w:r>
      <w:r w:rsidR="00BB1727" w:rsidRPr="00CC1E4F">
        <w:t>es</w:t>
      </w:r>
      <w:r>
        <w:t xml:space="preserve">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i</m:t>
            </m:r>
            <m:r>
              <m:rPr>
                <m:sty m:val="p"/>
              </m:rPr>
              <w:rPr>
                <w:rFonts w:ascii="Cambria Math" w:hAnsi="Cambria Math"/>
              </w:rPr>
              <m:t>=1,…,</m:t>
            </m:r>
            <m:r>
              <w:rPr>
                <w:rFonts w:ascii="Cambria Math" w:hAnsi="Cambria Math"/>
              </w:rPr>
              <m:t>n</m:t>
            </m:r>
          </m:sub>
        </m:sSub>
      </m:oMath>
    </w:p>
    <w:p w14:paraId="25A8B923" w14:textId="77777777" w:rsidR="00270D0B" w:rsidRDefault="00BB1727" w:rsidP="00BB1727">
      <w:pPr>
        <w:spacing w:after="280"/>
        <w:jc w:val="both"/>
      </w:pPr>
      <w:r>
        <w:rPr>
          <w:rFonts w:eastAsia="Times New Roman" w:hAnsi="Times New Roman" w:cs="Times New Roman"/>
        </w:rPr>
        <w:t xml:space="preserve">partitionné en deux jeux </w:t>
      </w:r>
      <m:oMath>
        <m:sSub>
          <m:sSubPr>
            <m:ctrlPr>
              <w:rPr>
                <w:rFonts w:ascii="Cambria Math" w:hAnsi="Cambria Math"/>
              </w:rPr>
            </m:ctrlPr>
          </m:sSubPr>
          <m:e>
            <m:r>
              <m:rPr>
                <m:scr m:val="script"/>
              </m:rPr>
              <w:rPr>
                <w:rFonts w:ascii="Cambria Math" w:hAnsi="Cambria Math"/>
              </w:rPr>
              <m:t>D</m:t>
            </m:r>
          </m:e>
          <m:sub>
            <m:r>
              <m:rPr>
                <m:nor/>
              </m:rPr>
              <m:t>tr</m:t>
            </m:r>
          </m:sub>
        </m:sSub>
      </m:oMath>
      <w:r>
        <w:t xml:space="preserve"> et </w:t>
      </w:r>
      <m:oMath>
        <m:sSub>
          <m:sSubPr>
            <m:ctrlPr>
              <w:rPr>
                <w:rFonts w:ascii="Cambria Math" w:hAnsi="Cambria Math"/>
              </w:rPr>
            </m:ctrlPr>
          </m:sSubPr>
          <m:e>
            <m:r>
              <m:rPr>
                <m:scr m:val="script"/>
              </m:rPr>
              <w:rPr>
                <w:rFonts w:ascii="Cambria Math" w:hAnsi="Cambria Math"/>
              </w:rPr>
              <m:t>D</m:t>
            </m:r>
          </m:e>
          <m:sub>
            <m:r>
              <m:rPr>
                <m:nor/>
              </m:rPr>
              <m:t>te</m:t>
            </m:r>
          </m:sub>
        </m:sSub>
      </m:oMath>
      <w:r>
        <w:t xml:space="preserve">, on appelle </w:t>
      </w:r>
      <w:r>
        <w:rPr>
          <w:b/>
        </w:rPr>
        <w:t>jeu d'entra</w:t>
      </w:r>
      <w:r>
        <w:rPr>
          <w:b/>
        </w:rPr>
        <w:t>î</w:t>
      </w:r>
      <w:r>
        <w:rPr>
          <w:b/>
        </w:rPr>
        <w:t>nement</w:t>
      </w:r>
      <w:r>
        <w:t xml:space="preserve"> (training set) l'ensemble </w:t>
      </w:r>
      <m:oMath>
        <m:sSub>
          <m:sSubPr>
            <m:ctrlPr>
              <w:rPr>
                <w:rFonts w:ascii="Cambria Math" w:hAnsi="Cambria Math"/>
              </w:rPr>
            </m:ctrlPr>
          </m:sSubPr>
          <m:e>
            <m:r>
              <m:rPr>
                <m:scr m:val="script"/>
              </m:rPr>
              <w:rPr>
                <w:rFonts w:ascii="Cambria Math" w:hAnsi="Cambria Math"/>
              </w:rPr>
              <m:t>D</m:t>
            </m:r>
          </m:e>
          <m:sub>
            <m:r>
              <m:rPr>
                <m:nor/>
              </m:rPr>
              <m:t>tr</m:t>
            </m:r>
          </m:sub>
        </m:sSub>
      </m:oMath>
      <w:r>
        <w:rPr>
          <w:rFonts w:eastAsia="Times New Roman" w:hAnsi="Times New Roman" w:cs="Times New Roman"/>
        </w:rPr>
        <w:t xml:space="preserve"> utilisé pour entraîner un modèle prédictif, et </w:t>
      </w:r>
      <w:r>
        <w:rPr>
          <w:b/>
        </w:rPr>
        <w:t>jeu de test</w:t>
      </w:r>
      <w:r>
        <w:t xml:space="preserve"> (test set) l'ensemble </w:t>
      </w:r>
      <m:oMath>
        <m:sSub>
          <m:sSubPr>
            <m:ctrlPr>
              <w:rPr>
                <w:rFonts w:ascii="Cambria Math" w:hAnsi="Cambria Math"/>
              </w:rPr>
            </m:ctrlPr>
          </m:sSubPr>
          <m:e>
            <m:r>
              <m:rPr>
                <m:scr m:val="script"/>
              </m:rPr>
              <w:rPr>
                <w:rFonts w:ascii="Cambria Math" w:hAnsi="Cambria Math"/>
              </w:rPr>
              <m:t>D</m:t>
            </m:r>
          </m:e>
          <m:sub>
            <m:r>
              <m:rPr>
                <m:nor/>
              </m:rPr>
              <m:t>te</m:t>
            </m:r>
          </m:sub>
        </m:sSub>
      </m:oMath>
      <w:r>
        <w:rPr>
          <w:rFonts w:eastAsia="Times New Roman" w:hAnsi="Times New Roman" w:cs="Times New Roman"/>
        </w:rPr>
        <w:t xml:space="preserve"> utilisé pour son évaluation.</w:t>
      </w:r>
    </w:p>
    <w:p w14:paraId="54D34D8E" w14:textId="6493A2B9"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Comme nous n'avons pas utilisé le jeu de test pour entraîner notre modèle, il peut être considéré comme un jeu de données « nouvelles ». La perte calculée sur ce jeu de test est un estimateur de l'erreur de généralisation.</w:t>
      </w:r>
    </w:p>
    <w:p w14:paraId="49531242" w14:textId="77777777" w:rsidR="00270D0B" w:rsidRPr="00CC1E4F" w:rsidRDefault="00BB1727" w:rsidP="00CC1E4F">
      <w:pPr>
        <w:pStyle w:val="3"/>
        <w:spacing w:line="360" w:lineRule="auto"/>
        <w:rPr>
          <w:rFonts w:ascii="Times New Roman" w:hAnsi="Times New Roman" w:cs="Times New Roman"/>
          <w:b/>
          <w:bCs/>
          <w:color w:val="auto"/>
          <w:sz w:val="28"/>
          <w:szCs w:val="28"/>
        </w:rPr>
      </w:pPr>
      <w:bookmarkStart w:id="5" w:name="bm_3_1_2_jeu_de_validation"/>
      <w:r w:rsidRPr="00CC1E4F">
        <w:rPr>
          <w:rFonts w:ascii="Times New Roman" w:hAnsi="Times New Roman" w:cs="Times New Roman"/>
          <w:b/>
          <w:bCs/>
          <w:color w:val="auto"/>
          <w:sz w:val="28"/>
          <w:szCs w:val="28"/>
        </w:rPr>
        <w:t>3.1.2 Jeu de validation</w:t>
      </w:r>
      <w:bookmarkEnd w:id="5"/>
    </w:p>
    <w:p w14:paraId="12F0475E" w14:textId="10051513"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 xml:space="preserve">Considérons maintenant la situation dans laquelle nous voulons choisir entre </w:t>
      </w:r>
      <m:oMath>
        <m:r>
          <w:rPr>
            <w:rFonts w:ascii="Cambria Math" w:hAnsi="Cambria Math"/>
          </w:rPr>
          <m:t>K</m:t>
        </m:r>
      </m:oMath>
      <w:r w:rsidR="00BB1727">
        <w:rPr>
          <w:rFonts w:eastAsia="Times New Roman" w:hAnsi="Times New Roman" w:cs="Times New Roman"/>
        </w:rPr>
        <w:t xml:space="preserve"> modèles. Nous pouvons alors entraîner chacun des modèles sur le jeu de données d'entraînement, obtenant ainsi </w:t>
      </w:r>
      <m:oMath>
        <m:r>
          <w:rPr>
            <w:rFonts w:ascii="Cambria Math" w:hAnsi="Cambria Math"/>
          </w:rPr>
          <m:t>K</m:t>
        </m:r>
      </m:oMath>
      <w:r w:rsidR="00BB1727">
        <w:rPr>
          <w:rFonts w:eastAsia="Times New Roman" w:hAnsi="Times New Roman" w:cs="Times New Roman"/>
        </w:rPr>
        <w:t xml:space="preserve"> fonctions de décision </w:t>
      </w:r>
      <m:oMath>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K</m:t>
            </m:r>
          </m:sub>
        </m:sSub>
      </m:oMath>
      <w:r w:rsidR="00BB1727">
        <w:rPr>
          <w:rFonts w:eastAsia="Times New Roman" w:hAnsi="Times New Roman" w:cs="Times New Roman"/>
        </w:rPr>
        <w:t>, puis calculer l'erreur de chacun de ces modèles sur le jeu de test. Nous pouvons ensuite choisir comme modèle celui qui a la plus petite erreur sur le jeu de test :</w:t>
      </w:r>
    </w:p>
    <w:p w14:paraId="26EEAF60" w14:textId="77777777" w:rsidR="00270D0B" w:rsidRDefault="00FE78F7" w:rsidP="00BB1727">
      <w:pPr>
        <w:spacing w:after="280"/>
        <w:jc w:val="both"/>
      </w:pPr>
      <m:oMathPara>
        <m:oMath>
          <m:acc>
            <m:accPr>
              <m:chr m:val="ˆ"/>
              <m:ctrlPr>
                <w:rPr>
                  <w:rFonts w:ascii="Cambria Math" w:hAnsi="Cambria Math"/>
                </w:rPr>
              </m:ctrlPr>
            </m:accPr>
            <m:e>
              <m:r>
                <w:rPr>
                  <w:rFonts w:ascii="Cambria Math" w:hAnsi="Cambria Math"/>
                </w:rPr>
                <m:t>f</m:t>
              </m:r>
            </m:e>
          </m:acc>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r>
                <w:rPr>
                  <w:rFonts w:ascii="Cambria Math" w:hAnsi="Cambria Math"/>
                </w:rPr>
                <m:t>k</m:t>
              </m:r>
              <m:r>
                <m:rPr>
                  <m:sty m:val="p"/>
                </m:rPr>
                <w:rPr>
                  <w:rFonts w:ascii="Cambria Math" w:hAnsi="Cambria Math"/>
                </w:rPr>
                <m:t>=1,…,</m:t>
              </m:r>
              <m:r>
                <w:rPr>
                  <w:rFonts w:ascii="Cambria Math" w:hAnsi="Cambria Math"/>
                </w:rPr>
                <m:t>K</m:t>
              </m:r>
            </m:lim>
          </m:limLow>
          <m:r>
            <m:rPr>
              <m:sty m:val="p"/>
            </m:rPr>
            <w:rPr>
              <w:rFonts w:ascii="Cambria Math" w:hAnsi="Cambria Math"/>
            </w:rPr>
            <m:t> </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nor/>
                    </m:rPr>
                    <m:t>te</m:t>
                  </m:r>
                </m:sub>
              </m:sSub>
              <m:r>
                <m:rPr>
                  <m:sty m:val="p"/>
                </m:rPr>
                <w:rPr>
                  <w:rFonts w:ascii="Cambria Math" w:hAnsi="Cambria Math"/>
                </w:rPr>
                <m:t>|</m:t>
              </m:r>
            </m:den>
          </m:f>
          <m:nary>
            <m:naryPr>
              <m:chr m:val="∑"/>
              <m:limLoc m:val="undOvr"/>
              <m:grow m:val="1"/>
              <m:supHide m:val="1"/>
              <m:ctrlPr>
                <w:rPr>
                  <w:rFonts w:ascii="Cambria Math" w:hAnsi="Cambria Math"/>
                </w:rPr>
              </m:ctrlPr>
            </m:naryPr>
            <m: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y</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nor/>
                    </m:rPr>
                    <m:t>te</m:t>
                  </m:r>
                </m:sub>
              </m:sSub>
            </m:sub>
            <m:sup/>
            <m:e>
              <m:r>
                <m:rPr>
                  <m:sty m:val="p"/>
                </m:rPr>
                <w:rPr>
                  <w:rFonts w:ascii="Cambria Math" w:hAnsi="Cambria Math"/>
                </w:rPr>
                <m:t> </m:t>
              </m:r>
            </m:e>
          </m:nary>
          <m:r>
            <w:rPr>
              <w:rFonts w:ascii="Cambria Math" w:hAnsi="Cambria Math"/>
            </w:rPr>
            <m:t>L</m:t>
          </m:r>
          <m:r>
            <m:rPr>
              <m:sty m:val="p"/>
            </m:rPr>
            <w:rPr>
              <w:rFonts w:ascii="Cambria Math" w:hAnsi="Cambria Math"/>
              <w:sz w:val="26"/>
            </w:rPr>
            <m:t>(</m:t>
          </m:r>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k</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m:rPr>
              <m:sty m:val="p"/>
            </m:rPr>
            <w:rPr>
              <w:rFonts w:ascii="Cambria Math" w:hAnsi="Cambria Math"/>
              <w:sz w:val="26"/>
            </w:rPr>
            <m:t>)</m:t>
          </m:r>
          <m:r>
            <m:rPr>
              <m:sty m:val="p"/>
            </m:rPr>
            <w:rPr>
              <w:rFonts w:ascii="Cambria Math" w:hAnsi="Cambria Math"/>
            </w:rPr>
            <m:t xml:space="preserve"> (3.1)</m:t>
          </m:r>
        </m:oMath>
      </m:oMathPara>
    </w:p>
    <w:p w14:paraId="2DCAC1A1" w14:textId="2E062510"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 xml:space="preserve">Mais quelle est son erreur de généralisation ? Comme nous avons utilisé </w:t>
      </w:r>
      <m:oMath>
        <m:sSub>
          <m:sSubPr>
            <m:ctrlPr>
              <w:rPr>
                <w:rFonts w:ascii="Cambria Math" w:hAnsi="Cambria Math"/>
              </w:rPr>
            </m:ctrlPr>
          </m:sSubPr>
          <m:e>
            <m:r>
              <m:rPr>
                <m:scr m:val="script"/>
              </m:rPr>
              <w:rPr>
                <w:rFonts w:ascii="Cambria Math" w:hAnsi="Cambria Math"/>
              </w:rPr>
              <m:t>D</m:t>
            </m:r>
          </m:e>
          <m:sub>
            <m:r>
              <m:rPr>
                <m:nor/>
              </m:rPr>
              <m:t>te</m:t>
            </m:r>
          </m:sub>
        </m:sSub>
      </m:oMath>
      <w:r w:rsidR="00BB1727">
        <w:rPr>
          <w:rFonts w:eastAsia="Times New Roman" w:hAnsi="Times New Roman" w:cs="Times New Roman"/>
        </w:rPr>
        <w:t xml:space="preserve"> pour sélectionner le modèle, il ne représente plus un jeu indépendant composé de données nouvelles, inutilisées pour déterminer le modèle.</w:t>
      </w:r>
    </w:p>
    <w:p w14:paraId="56730977" w14:textId="3CC8A244"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La solution est alors de découper notre jeu de données en trois parties :</w:t>
      </w:r>
    </w:p>
    <w:p w14:paraId="163EFB1E" w14:textId="77777777" w:rsidR="00270D0B" w:rsidRDefault="00BB1727" w:rsidP="00BB1727">
      <w:pPr>
        <w:numPr>
          <w:ilvl w:val="0"/>
          <w:numId w:val="2"/>
        </w:numPr>
        <w:jc w:val="both"/>
      </w:pPr>
      <w:r>
        <w:t xml:space="preserve">Un </w:t>
      </w:r>
      <w:r>
        <w:rPr>
          <w:b/>
        </w:rPr>
        <w:t>jeu d'entra</w:t>
      </w:r>
      <w:r>
        <w:rPr>
          <w:b/>
        </w:rPr>
        <w:t>î</w:t>
      </w:r>
      <w:r>
        <w:rPr>
          <w:b/>
        </w:rPr>
        <w:t>nement</w:t>
      </w:r>
      <w:r>
        <w:t xml:space="preserve"> </w:t>
      </w:r>
      <m:oMath>
        <m:sSub>
          <m:sSubPr>
            <m:ctrlPr>
              <w:rPr>
                <w:rFonts w:ascii="Cambria Math" w:hAnsi="Cambria Math"/>
              </w:rPr>
            </m:ctrlPr>
          </m:sSubPr>
          <m:e>
            <m:r>
              <m:rPr>
                <m:scr m:val="script"/>
              </m:rPr>
              <w:rPr>
                <w:rFonts w:ascii="Cambria Math" w:hAnsi="Cambria Math"/>
              </w:rPr>
              <m:t>D</m:t>
            </m:r>
          </m:e>
          <m:sub>
            <m:r>
              <m:rPr>
                <m:nor/>
              </m:rPr>
              <m:t>tr</m:t>
            </m:r>
          </m:sub>
        </m:sSub>
      </m:oMath>
      <w:r>
        <w:rPr>
          <w:rFonts w:eastAsia="Times New Roman" w:hAnsi="Times New Roman" w:cs="Times New Roman"/>
        </w:rPr>
        <w:t xml:space="preserve"> sur lequel nous pourrons entraîner nos </w:t>
      </w:r>
      <m:oMath>
        <m:r>
          <w:rPr>
            <w:rFonts w:ascii="Cambria Math" w:hAnsi="Cambria Math"/>
          </w:rPr>
          <m:t>K</m:t>
        </m:r>
      </m:oMath>
      <w:r>
        <w:t xml:space="preserve"> algorithmes d'apprentissage ;</w:t>
      </w:r>
    </w:p>
    <w:p w14:paraId="09345C0F" w14:textId="77777777" w:rsidR="00270D0B" w:rsidRDefault="00BB1727" w:rsidP="00BB1727">
      <w:pPr>
        <w:numPr>
          <w:ilvl w:val="0"/>
          <w:numId w:val="2"/>
        </w:numPr>
        <w:jc w:val="both"/>
      </w:pPr>
      <w:r>
        <w:t xml:space="preserve">Un </w:t>
      </w:r>
      <w:r>
        <w:rPr>
          <w:b/>
        </w:rPr>
        <w:t>jeu de validation</w:t>
      </w:r>
      <w:r>
        <w:t xml:space="preserve"> </w:t>
      </w:r>
      <m:oMath>
        <m:sSub>
          <m:sSubPr>
            <m:ctrlPr>
              <w:rPr>
                <w:rFonts w:ascii="Cambria Math" w:hAnsi="Cambria Math"/>
              </w:rPr>
            </m:ctrlPr>
          </m:sSubPr>
          <m:e>
            <m:r>
              <m:rPr>
                <m:scr m:val="script"/>
              </m:rPr>
              <w:rPr>
                <w:rFonts w:ascii="Cambria Math" w:hAnsi="Cambria Math"/>
              </w:rPr>
              <m:t>D</m:t>
            </m:r>
          </m:e>
          <m:sub>
            <m:r>
              <m:rPr>
                <m:nor/>
              </m:rPr>
              <m:t>val</m:t>
            </m:r>
          </m:sub>
        </m:sSub>
      </m:oMath>
      <w:r>
        <w:rPr>
          <w:rFonts w:eastAsia="Times New Roman" w:hAnsi="Times New Roman" w:cs="Times New Roman"/>
        </w:rPr>
        <w:t xml:space="preserve"> sur lequel nous évaluerons les </w:t>
      </w:r>
      <m:oMath>
        <m:r>
          <w:rPr>
            <w:rFonts w:ascii="Cambria Math" w:hAnsi="Cambria Math"/>
          </w:rPr>
          <m:t>K</m:t>
        </m:r>
      </m:oMath>
      <w:r>
        <w:rPr>
          <w:rFonts w:eastAsia="Times New Roman" w:hAnsi="Times New Roman" w:cs="Times New Roman"/>
        </w:rPr>
        <w:t xml:space="preserve"> modèles ainsi obtenus, afin de sélectionner un modèle définitif ;</w:t>
      </w:r>
    </w:p>
    <w:p w14:paraId="38BC5ABB" w14:textId="77777777" w:rsidR="00270D0B" w:rsidRDefault="00BB1727" w:rsidP="00BB1727">
      <w:pPr>
        <w:numPr>
          <w:ilvl w:val="0"/>
          <w:numId w:val="2"/>
        </w:numPr>
        <w:jc w:val="both"/>
      </w:pPr>
      <w:r>
        <w:t xml:space="preserve">Un </w:t>
      </w:r>
      <w:r>
        <w:rPr>
          <w:b/>
        </w:rPr>
        <w:t>jeu de test</w:t>
      </w:r>
      <w:r>
        <w:t xml:space="preserve"> </w:t>
      </w:r>
      <m:oMath>
        <m:sSub>
          <m:sSubPr>
            <m:ctrlPr>
              <w:rPr>
                <w:rFonts w:ascii="Cambria Math" w:hAnsi="Cambria Math"/>
              </w:rPr>
            </m:ctrlPr>
          </m:sSubPr>
          <m:e>
            <m:r>
              <m:rPr>
                <m:scr m:val="script"/>
              </m:rPr>
              <w:rPr>
                <w:rFonts w:ascii="Cambria Math" w:hAnsi="Cambria Math"/>
              </w:rPr>
              <m:t>D</m:t>
            </m:r>
          </m:e>
          <m:sub>
            <m:r>
              <m:rPr>
                <m:nor/>
              </m:rPr>
              <m:t>te</m:t>
            </m:r>
          </m:sub>
        </m:sSub>
      </m:oMath>
      <w:r>
        <w:rPr>
          <w:rFonts w:eastAsia="Times New Roman" w:hAnsi="Times New Roman" w:cs="Times New Roman"/>
        </w:rPr>
        <w:t xml:space="preserve"> sur lequel nous évaluerons enfin l'erreur de généralisation du modèle choisi.</w:t>
      </w:r>
    </w:p>
    <w:p w14:paraId="2CF18303" w14:textId="7805E12B" w:rsidR="00270D0B" w:rsidRDefault="00CC1E4F" w:rsidP="00BB1727">
      <w:pPr>
        <w:spacing w:after="280"/>
        <w:jc w:val="both"/>
      </w:pPr>
      <w:r>
        <w:tab/>
      </w:r>
      <w:r w:rsidR="00BB1727">
        <w:t xml:space="preserve">On voit ici qu'il est important de distinguer la </w:t>
      </w:r>
      <w:r w:rsidR="00BB1727">
        <w:rPr>
          <w:b/>
        </w:rPr>
        <w:t>s</w:t>
      </w:r>
      <w:r w:rsidR="00BB1727">
        <w:rPr>
          <w:b/>
        </w:rPr>
        <w:t>é</w:t>
      </w:r>
      <w:r w:rsidR="00BB1727">
        <w:rPr>
          <w:b/>
        </w:rPr>
        <w:t>lection</w:t>
      </w:r>
      <w:r w:rsidR="00BB1727">
        <w:rPr>
          <w:rFonts w:eastAsia="Times New Roman" w:hAnsi="Times New Roman" w:cs="Times New Roman"/>
        </w:rPr>
        <w:t xml:space="preserve"> d'un modèle de son </w:t>
      </w:r>
      <w:r w:rsidR="00BB1727">
        <w:rPr>
          <w:b/>
        </w:rPr>
        <w:t>é</w:t>
      </w:r>
      <w:r w:rsidR="00BB1727">
        <w:rPr>
          <w:b/>
        </w:rPr>
        <w:t>valuation</w:t>
      </w:r>
      <w:r w:rsidR="00BB1727">
        <w:rPr>
          <w:rFonts w:eastAsia="Times New Roman" w:hAnsi="Times New Roman" w:cs="Times New Roman"/>
        </w:rPr>
        <w:t xml:space="preserve"> : les faire sur les mêmes données peut nous conduire à sous-estimer l'erreur de généralisation et le sur-apprentissage du modèle choisi.</w:t>
      </w:r>
    </w:p>
    <w:p w14:paraId="12495A3E" w14:textId="5EA82318" w:rsidR="00CC1E4F" w:rsidRDefault="00CC1E4F" w:rsidP="00834266">
      <w:pPr>
        <w:spacing w:after="280"/>
        <w:jc w:val="both"/>
      </w:pPr>
      <w:r>
        <w:rPr>
          <w:b/>
        </w:rPr>
        <w:tab/>
      </w:r>
      <w:r w:rsidR="00BB1727" w:rsidRPr="00834266">
        <w:rPr>
          <w:b/>
        </w:rPr>
        <w:t>Remarque</w:t>
      </w:r>
    </w:p>
    <w:p w14:paraId="483BE414" w14:textId="2317AF2D" w:rsidR="00270D0B" w:rsidRPr="00834266" w:rsidRDefault="00CC1E4F" w:rsidP="00834266">
      <w:pPr>
        <w:spacing w:after="280"/>
        <w:jc w:val="both"/>
      </w:pPr>
      <w:r>
        <w:tab/>
      </w:r>
      <w:r w:rsidR="00BB1727" w:rsidRPr="00834266">
        <w:rPr>
          <w:rFonts w:eastAsia="Times New Roman" w:hAnsi="Times New Roman" w:cs="Times New Roman"/>
        </w:rPr>
        <w:t>Une fois un modèle sélectionné, on peut le ré-entraîner sur l'union du jeu d'entraînement et du jeu de validation afin de construire un modèle final.</w:t>
      </w:r>
    </w:p>
    <w:p w14:paraId="3CA9B2E0" w14:textId="77777777" w:rsidR="00270D0B" w:rsidRPr="00CC1E4F" w:rsidRDefault="00BB1727" w:rsidP="00CC1E4F">
      <w:pPr>
        <w:pStyle w:val="3"/>
        <w:spacing w:line="360" w:lineRule="auto"/>
        <w:jc w:val="both"/>
        <w:rPr>
          <w:rFonts w:ascii="Times New Roman" w:hAnsi="Times New Roman" w:cs="Times New Roman"/>
          <w:b/>
          <w:bCs/>
          <w:color w:val="auto"/>
          <w:sz w:val="28"/>
          <w:szCs w:val="28"/>
        </w:rPr>
      </w:pPr>
      <w:bookmarkStart w:id="6" w:name="bm_3_1_3_validation_croisée"/>
      <w:r w:rsidRPr="00CC1E4F">
        <w:rPr>
          <w:rFonts w:ascii="Times New Roman" w:eastAsia="Times New Roman" w:hAnsi="Times New Roman" w:cs="Times New Roman"/>
          <w:b/>
          <w:bCs/>
          <w:color w:val="auto"/>
          <w:sz w:val="28"/>
          <w:szCs w:val="28"/>
        </w:rPr>
        <w:t>3.1.3 Validation croisée</w:t>
      </w:r>
      <w:bookmarkEnd w:id="6"/>
    </w:p>
    <w:p w14:paraId="03EFD4BF" w14:textId="5B0ADB1C" w:rsidR="00834266" w:rsidRPr="00CC1E4F" w:rsidRDefault="00CC1E4F" w:rsidP="00CC1E4F">
      <w:pPr>
        <w:spacing w:after="280"/>
        <w:ind w:right="-149"/>
        <w:jc w:val="both"/>
      </w:pPr>
      <w:r>
        <w:rPr>
          <w:rFonts w:eastAsia="Times New Roman" w:hAnsi="Times New Roman" w:cs="Times New Roman"/>
        </w:rPr>
        <w:tab/>
      </w:r>
      <w:r w:rsidR="00BB1727">
        <w:rPr>
          <w:rFonts w:eastAsia="Times New Roman" w:hAnsi="Times New Roman" w:cs="Times New Roman"/>
        </w:rPr>
        <w:t xml:space="preserve">La séparation d’un jeu de données en un jeu d’entraînement et un jeu de test est nécessairement arbitraire. Nous risquons ainsi d’avoir, par hasard, créé des jeux de données qui ne sont pas représentatifs. Pour éviter cet écueil, il est souhaitable de reproduire plusieurs fois la procédure, puis de moyenner les résultats obtenus afin de lisser ces effets aléatoires. Le cadre le plus classique pour ce faire est celui de la </w:t>
      </w:r>
      <w:r w:rsidR="00BB1727">
        <w:rPr>
          <w:b/>
        </w:rPr>
        <w:t>validation crois</w:t>
      </w:r>
      <w:r w:rsidR="00BB1727">
        <w:rPr>
          <w:b/>
        </w:rPr>
        <w:t>é</w:t>
      </w:r>
      <w:r w:rsidR="00BB1727">
        <w:rPr>
          <w:b/>
        </w:rPr>
        <w:t>e</w:t>
      </w:r>
      <w:r w:rsidR="00BB1727">
        <w:rPr>
          <w:rFonts w:eastAsia="Times New Roman" w:hAnsi="Times New Roman" w:cs="Times New Roman"/>
        </w:rPr>
        <w:t>, illustré sur la figure 3.1.</w:t>
      </w:r>
    </w:p>
    <w:p w14:paraId="262B027A" w14:textId="4A84A460" w:rsidR="00CC1E4F" w:rsidRPr="00CC1E4F" w:rsidRDefault="00BB1727" w:rsidP="00834266">
      <w:pPr>
        <w:spacing w:after="280"/>
      </w:pPr>
      <w:r>
        <w:rPr>
          <w:b/>
        </w:rPr>
        <w:t>D</w:t>
      </w:r>
      <w:r>
        <w:rPr>
          <w:b/>
        </w:rPr>
        <w:t>é</w:t>
      </w:r>
      <w:r>
        <w:rPr>
          <w:b/>
        </w:rPr>
        <w:t>finition 3.2 (Validation crois</w:t>
      </w:r>
      <w:r>
        <w:rPr>
          <w:b/>
        </w:rPr>
        <w:t>é</w:t>
      </w:r>
      <w:r>
        <w:rPr>
          <w:b/>
        </w:rPr>
        <w:t>e)</w:t>
      </w:r>
    </w:p>
    <w:p w14:paraId="6BAD2ACB" w14:textId="5DA2E398"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 xml:space="preserve">Étant donné un jeu </w:t>
      </w:r>
      <m:oMath>
        <m:r>
          <m:rPr>
            <m:scr m:val="script"/>
          </m:rPr>
          <w:rPr>
            <w:rFonts w:ascii="Cambria Math" w:hAnsi="Cambria Math"/>
          </w:rPr>
          <m:t>D</m:t>
        </m:r>
      </m:oMath>
      <w:r w:rsidR="00BB1727">
        <w:t xml:space="preserve"> de </w:t>
      </w:r>
      <m:oMath>
        <m:r>
          <w:rPr>
            <w:rFonts w:ascii="Cambria Math" w:hAnsi="Cambria Math"/>
          </w:rPr>
          <m:t>n</m:t>
        </m:r>
      </m:oMath>
      <w:r w:rsidR="00BB1727">
        <w:t xml:space="preserve"> observations, et un nombre </w:t>
      </w:r>
      <m:oMath>
        <m:r>
          <w:rPr>
            <w:rFonts w:ascii="Cambria Math" w:hAnsi="Cambria Math"/>
          </w:rPr>
          <m:t>K</m:t>
        </m:r>
      </m:oMath>
      <w:r w:rsidR="00BB1727">
        <w:t xml:space="preserve">, on appelle </w:t>
      </w:r>
      <w:r w:rsidR="00BB1727">
        <w:rPr>
          <w:b/>
        </w:rPr>
        <w:t>validation crois</w:t>
      </w:r>
      <w:r w:rsidR="00BB1727">
        <w:rPr>
          <w:b/>
        </w:rPr>
        <w:t>é</w:t>
      </w:r>
      <w:r w:rsidR="00BB1727">
        <w:rPr>
          <w:b/>
        </w:rPr>
        <w:t>e</w:t>
      </w:r>
      <w:r w:rsidR="00BB1727">
        <w:rPr>
          <w:rFonts w:eastAsia="Times New Roman" w:hAnsi="Times New Roman" w:cs="Times New Roman"/>
        </w:rPr>
        <w:t xml:space="preserve"> la procédure qui consiste à :</w:t>
      </w:r>
    </w:p>
    <w:p w14:paraId="6D4FABC6" w14:textId="77777777" w:rsidR="00270D0B" w:rsidRDefault="00BB1727" w:rsidP="00BB1727">
      <w:pPr>
        <w:numPr>
          <w:ilvl w:val="0"/>
          <w:numId w:val="3"/>
        </w:numPr>
        <w:jc w:val="both"/>
      </w:pPr>
      <w:r>
        <w:lastRenderedPageBreak/>
        <w:t xml:space="preserve">partitionner </w:t>
      </w:r>
      <m:oMath>
        <m:r>
          <m:rPr>
            <m:scr m:val="script"/>
          </m:rPr>
          <w:rPr>
            <w:rFonts w:ascii="Cambria Math" w:hAnsi="Cambria Math"/>
          </w:rPr>
          <m:t>D</m:t>
        </m:r>
      </m:oMath>
      <w:r>
        <w:t xml:space="preserve"> en </w:t>
      </w:r>
      <m:oMath>
        <m:r>
          <w:rPr>
            <w:rFonts w:ascii="Cambria Math" w:hAnsi="Cambria Math"/>
          </w:rPr>
          <m:t>K</m:t>
        </m:r>
      </m:oMath>
      <w:r>
        <w:t xml:space="preserve"> parties de tailles sensiblement similaires, </w:t>
      </w:r>
      <m:oMath>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t xml:space="preserve"> ;</w:t>
      </w:r>
    </w:p>
    <w:p w14:paraId="375E3A46" w14:textId="77777777" w:rsidR="00CC1E4F" w:rsidRDefault="00BB1727" w:rsidP="00BB1727">
      <w:pPr>
        <w:numPr>
          <w:ilvl w:val="0"/>
          <w:numId w:val="3"/>
        </w:numPr>
        <w:jc w:val="both"/>
      </w:pPr>
      <w:r>
        <w:t xml:space="preserve">pour chaque valeur de </w:t>
      </w:r>
      <m:oMath>
        <m:r>
          <w:rPr>
            <w:rFonts w:ascii="Cambria Math" w:hAnsi="Cambria Math"/>
          </w:rPr>
          <m:t>k</m:t>
        </m:r>
        <m:r>
          <m:rPr>
            <m:sty m:val="p"/>
          </m:rPr>
          <w:rPr>
            <w:rFonts w:ascii="Cambria Math" w:hAnsi="Cambria Math"/>
          </w:rPr>
          <m:t>=1,…,</m:t>
        </m:r>
        <m:r>
          <w:rPr>
            <w:rFonts w:ascii="Cambria Math" w:hAnsi="Cambria Math"/>
          </w:rPr>
          <m:t>K</m:t>
        </m:r>
      </m:oMath>
      <w:r>
        <w:t xml:space="preserve"> :</w:t>
      </w:r>
    </w:p>
    <w:p w14:paraId="05CE410B" w14:textId="77777777" w:rsidR="00CC1E4F" w:rsidRDefault="00BB1727" w:rsidP="00CC1E4F">
      <w:pPr>
        <w:ind w:left="720"/>
        <w:jc w:val="both"/>
      </w:pPr>
      <w:r>
        <w:rPr>
          <w:rFonts w:eastAsia="Times New Roman" w:hAnsi="Times New Roman" w:cs="Times New Roman"/>
        </w:rPr>
        <w:t xml:space="preserve">— entraîner un modèle sur </w:t>
      </w:r>
      <m:oMath>
        <m:nary>
          <m:naryPr>
            <m:chr m:val="⋃"/>
            <m:limLoc m:val="undOvr"/>
            <m:grow m:val="1"/>
            <m:supHide m:val="1"/>
            <m:ctrlPr>
              <w:rPr>
                <w:rFonts w:ascii="Cambria Math" w:hAnsi="Cambria Math"/>
              </w:rPr>
            </m:ctrlPr>
          </m:naryPr>
          <m:sub>
            <m:r>
              <m:rPr>
                <m:scr m:val="script"/>
              </m:rPr>
              <w:rPr>
                <w:rFonts w:ascii="Cambria Math" w:hAnsi="Cambria Math"/>
              </w:rPr>
              <m:t>l</m:t>
            </m:r>
            <m:r>
              <m:rPr>
                <m:sty m:val="p"/>
              </m:rPr>
              <w:rPr>
                <w:rFonts w:ascii="Cambria Math" w:hAnsi="Cambria Math"/>
              </w:rPr>
              <m:t>≠</m:t>
            </m:r>
            <m:r>
              <w:rPr>
                <w:rFonts w:ascii="Cambria Math" w:hAnsi="Cambria Math"/>
              </w:rPr>
              <m:t>k</m:t>
            </m:r>
          </m:sub>
          <m:sup/>
          <m:e>
            <m:r>
              <m:rPr>
                <m:sty m:val="p"/>
              </m:rPr>
              <w:rPr>
                <w:rFonts w:ascii="Cambria Math" w:hAnsi="Cambria Math"/>
              </w:rPr>
              <m:t> </m:t>
            </m:r>
          </m:e>
        </m:nary>
        <m:sSub>
          <m:sSubPr>
            <m:ctrlPr>
              <w:rPr>
                <w:rFonts w:ascii="Cambria Math" w:hAnsi="Cambria Math"/>
              </w:rPr>
            </m:ctrlPr>
          </m:sSubPr>
          <m:e>
            <m:r>
              <m:rPr>
                <m:scr m:val="script"/>
              </m:rPr>
              <w:rPr>
                <w:rFonts w:ascii="Cambria Math" w:hAnsi="Cambria Math"/>
              </w:rPr>
              <m:t>D</m:t>
            </m:r>
          </m:e>
          <m:sub>
            <m:r>
              <m:rPr>
                <m:scr m:val="script"/>
              </m:rPr>
              <w:rPr>
                <w:rFonts w:ascii="Cambria Math" w:hAnsi="Cambria Math"/>
              </w:rPr>
              <m:t>l</m:t>
            </m:r>
          </m:sub>
        </m:sSub>
      </m:oMath>
      <w:r>
        <w:t xml:space="preserve"> ;</w:t>
      </w:r>
    </w:p>
    <w:p w14:paraId="247DB8DA" w14:textId="36696ED9" w:rsidR="00270D0B" w:rsidRDefault="00BB1727" w:rsidP="00CC1E4F">
      <w:pPr>
        <w:ind w:left="720"/>
        <w:jc w:val="both"/>
      </w:pPr>
      <w:r>
        <w:rPr>
          <w:rFonts w:eastAsia="Times New Roman" w:hAnsi="Times New Roman" w:cs="Times New Roman"/>
        </w:rPr>
        <w:t xml:space="preserve">— évaluer ce modèle sur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t>.</w:t>
      </w:r>
    </w:p>
    <w:p w14:paraId="062948A8" w14:textId="54A1FE0A" w:rsidR="00270D0B" w:rsidRDefault="00CC1E4F" w:rsidP="00BB1727">
      <w:pPr>
        <w:spacing w:after="280"/>
        <w:jc w:val="both"/>
      </w:pPr>
      <w:r>
        <w:tab/>
      </w:r>
      <w:r w:rsidR="00BB1727">
        <w:t xml:space="preserve">Chaque partition de </w:t>
      </w:r>
      <m:oMath>
        <m:r>
          <m:rPr>
            <m:scr m:val="script"/>
          </m:rPr>
          <w:rPr>
            <w:rFonts w:ascii="Cambria Math" w:hAnsi="Cambria Math"/>
          </w:rPr>
          <m:t>D</m:t>
        </m:r>
      </m:oMath>
      <w:r w:rsidR="00BB1727">
        <w:t xml:space="preserve"> en deux ensembles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rsidR="00BB1727">
        <w:t xml:space="preserve"> et </w:t>
      </w:r>
      <m:oMath>
        <m:nary>
          <m:naryPr>
            <m:chr m:val="⋃"/>
            <m:limLoc m:val="undOvr"/>
            <m:grow m:val="1"/>
            <m:supHide m:val="1"/>
            <m:ctrlPr>
              <w:rPr>
                <w:rFonts w:ascii="Cambria Math" w:hAnsi="Cambria Math"/>
              </w:rPr>
            </m:ctrlPr>
          </m:naryPr>
          <m:sub>
            <m:r>
              <m:rPr>
                <m:scr m:val="script"/>
              </m:rPr>
              <w:rPr>
                <w:rFonts w:ascii="Cambria Math" w:hAnsi="Cambria Math"/>
              </w:rPr>
              <m:t>l</m:t>
            </m:r>
            <m:r>
              <m:rPr>
                <m:sty m:val="p"/>
              </m:rPr>
              <w:rPr>
                <w:rFonts w:ascii="Cambria Math" w:hAnsi="Cambria Math"/>
              </w:rPr>
              <m:t>≠</m:t>
            </m:r>
            <m:r>
              <w:rPr>
                <w:rFonts w:ascii="Cambria Math" w:hAnsi="Cambria Math"/>
              </w:rPr>
              <m:t>k</m:t>
            </m:r>
          </m:sub>
          <m:sup/>
          <m:e>
            <m:r>
              <m:rPr>
                <m:sty m:val="p"/>
              </m:rPr>
              <w:rPr>
                <w:rFonts w:ascii="Cambria Math" w:hAnsi="Cambria Math"/>
              </w:rPr>
              <m:t> </m:t>
            </m:r>
          </m:e>
        </m:nary>
        <m:sSub>
          <m:sSubPr>
            <m:ctrlPr>
              <w:rPr>
                <w:rFonts w:ascii="Cambria Math" w:hAnsi="Cambria Math"/>
              </w:rPr>
            </m:ctrlPr>
          </m:sSubPr>
          <m:e>
            <m:r>
              <m:rPr>
                <m:scr m:val="script"/>
              </m:rPr>
              <w:rPr>
                <w:rFonts w:ascii="Cambria Math" w:hAnsi="Cambria Math"/>
              </w:rPr>
              <m:t>D</m:t>
            </m:r>
          </m:e>
          <m:sub>
            <m:r>
              <m:rPr>
                <m:scr m:val="script"/>
              </m:rPr>
              <w:rPr>
                <w:rFonts w:ascii="Cambria Math" w:hAnsi="Cambria Math"/>
              </w:rPr>
              <m:t>l</m:t>
            </m:r>
          </m:sub>
        </m:sSub>
      </m:oMath>
      <w:r w:rsidR="00BB1727">
        <w:rPr>
          <w:rFonts w:eastAsia="Times New Roman" w:hAnsi="Times New Roman" w:cs="Times New Roman"/>
        </w:rPr>
        <w:t xml:space="preserve"> est appelée un </w:t>
      </w:r>
      <w:proofErr w:type="spellStart"/>
      <w:r w:rsidR="00BB1727">
        <w:rPr>
          <w:b/>
        </w:rPr>
        <w:t>fold</w:t>
      </w:r>
      <w:proofErr w:type="spellEnd"/>
      <w:r w:rsidR="00BB1727">
        <w:rPr>
          <w:rFonts w:eastAsia="Times New Roman" w:hAnsi="Times New Roman" w:cs="Times New Roman"/>
        </w:rPr>
        <w:t xml:space="preserve"> de la validation croisée.</w:t>
      </w:r>
    </w:p>
    <w:p w14:paraId="78D5171D" w14:textId="659BA491" w:rsidR="00270D0B" w:rsidRDefault="00CC1E4F" w:rsidP="00BB1727">
      <w:pPr>
        <w:spacing w:after="280"/>
        <w:jc w:val="both"/>
      </w:pPr>
      <w:r>
        <w:rPr>
          <w:rFonts w:eastAsia="Times New Roman" w:hAnsi="Times New Roman" w:cs="Times New Roman"/>
        </w:rPr>
        <w:tab/>
      </w:r>
      <w:r w:rsidR="00BB1727">
        <w:rPr>
          <w:rFonts w:eastAsia="Times New Roman" w:hAnsi="Times New Roman" w:cs="Times New Roman"/>
        </w:rPr>
        <w:t xml:space="preserve">Chaque observation étiquetée du jeu </w:t>
      </w:r>
      <m:oMath>
        <m:r>
          <m:rPr>
            <m:scr m:val="script"/>
          </m:rPr>
          <w:rPr>
            <w:rFonts w:ascii="Cambria Math" w:hAnsi="Cambria Math"/>
          </w:rPr>
          <m:t>D</m:t>
        </m:r>
      </m:oMath>
      <w:r w:rsidR="00BB1727">
        <w:rPr>
          <w:rFonts w:eastAsia="Times New Roman" w:hAnsi="Times New Roman" w:cs="Times New Roman"/>
        </w:rPr>
        <w:t xml:space="preserve"> appartient à un unique jeu de test, et à </w:t>
      </w:r>
      <m:oMath>
        <m:r>
          <m:rPr>
            <m:sty m:val="p"/>
          </m:rPr>
          <w:rPr>
            <w:rFonts w:ascii="Cambria Math" w:hAnsi="Cambria Math"/>
          </w:rPr>
          <m:t>(</m:t>
        </m:r>
        <m:r>
          <w:rPr>
            <w:rFonts w:ascii="Cambria Math" w:hAnsi="Cambria Math"/>
          </w:rPr>
          <m:t>K</m:t>
        </m:r>
        <m:r>
          <m:rPr>
            <m:sty m:val="p"/>
          </m:rPr>
          <w:rPr>
            <w:rFonts w:ascii="Cambria Math" w:hAnsi="Cambria Math"/>
          </w:rPr>
          <m:t>-1)</m:t>
        </m:r>
      </m:oMath>
      <w:r w:rsidR="00BB1727">
        <w:rPr>
          <w:rFonts w:eastAsia="Times New Roman" w:hAnsi="Times New Roman" w:cs="Times New Roman"/>
        </w:rPr>
        <w:t xml:space="preserve"> jeux d’entraînement. Ainsi, cette procédure génère une prédiction par observation de </w:t>
      </w:r>
      <m:oMath>
        <m:r>
          <m:rPr>
            <m:scr m:val="script"/>
          </m:rPr>
          <w:rPr>
            <w:rFonts w:ascii="Cambria Math" w:hAnsi="Cambria Math"/>
          </w:rPr>
          <m:t>D</m:t>
        </m:r>
      </m:oMath>
      <w:r w:rsidR="00BB1727">
        <w:rPr>
          <w:rFonts w:eastAsia="Times New Roman" w:hAnsi="Times New Roman" w:cs="Times New Roman"/>
        </w:rPr>
        <w:t>. Pour conclure sur la performance du modèle, on peut :</w:t>
      </w:r>
    </w:p>
    <w:p w14:paraId="21E4BBAF" w14:textId="77777777" w:rsidR="00270D0B" w:rsidRDefault="00BB1727" w:rsidP="00BB1727">
      <w:pPr>
        <w:numPr>
          <w:ilvl w:val="0"/>
          <w:numId w:val="4"/>
        </w:numPr>
        <w:jc w:val="both"/>
      </w:pPr>
      <w:r>
        <w:rPr>
          <w:rFonts w:eastAsia="Times New Roman" w:hAnsi="Times New Roman" w:cs="Times New Roman"/>
        </w:rPr>
        <w:t xml:space="preserve">soit évaluer la qualité des prédictions sur </w:t>
      </w:r>
      <m:oMath>
        <m:r>
          <m:rPr>
            <m:scr m:val="script"/>
          </m:rPr>
          <w:rPr>
            <w:rFonts w:ascii="Cambria Math" w:hAnsi="Cambria Math"/>
          </w:rPr>
          <m:t>D</m:t>
        </m:r>
      </m:oMath>
      <w:r>
        <w:t xml:space="preserve"> ;</w:t>
      </w:r>
    </w:p>
    <w:p w14:paraId="5F00DDB2" w14:textId="77777777" w:rsidR="00270D0B" w:rsidRDefault="00BB1727" w:rsidP="00BB1727">
      <w:pPr>
        <w:numPr>
          <w:ilvl w:val="0"/>
          <w:numId w:val="4"/>
        </w:numPr>
        <w:jc w:val="both"/>
      </w:pPr>
      <w:r>
        <w:rPr>
          <w:rFonts w:eastAsia="Times New Roman" w:hAnsi="Times New Roman" w:cs="Times New Roman"/>
        </w:rPr>
        <w:t xml:space="preserve">soit évaluer la qualité de chacun des </w:t>
      </w:r>
      <m:oMath>
        <m:r>
          <w:rPr>
            <w:rFonts w:ascii="Cambria Math" w:hAnsi="Cambria Math"/>
          </w:rPr>
          <m:t>K</m:t>
        </m:r>
      </m:oMath>
      <w:r>
        <w:rPr>
          <w:rFonts w:eastAsia="Times New Roman" w:hAnsi="Times New Roman" w:cs="Times New Roman"/>
        </w:rPr>
        <w:t xml:space="preserve"> prédicteurs sur le jeu de test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t xml:space="preserve"> correspondant, et moyenner leurs performances.</w:t>
      </w:r>
    </w:p>
    <w:p w14:paraId="3F45ED8D" w14:textId="77777777" w:rsidR="00270D0B" w:rsidRDefault="00BB1727" w:rsidP="00BB1727">
      <w:pPr>
        <w:spacing w:after="280"/>
        <w:jc w:val="both"/>
        <w:rPr>
          <w:rFonts w:eastAsia="Times New Roman" w:hAnsi="Times New Roman" w:cs="Times New Roman"/>
        </w:rPr>
      </w:pPr>
      <w:r>
        <w:rPr>
          <w:rFonts w:eastAsia="Times New Roman" w:hAnsi="Times New Roman" w:cs="Times New Roman"/>
        </w:rPr>
        <w:t>Cette deuxième approche permet aussi de rapporter l’écart-type de ces performances, ce qui permet de se faire une meilleure idée de la variabilité de la qualité des prédictions en fonction des données d’entraînement.</w:t>
      </w:r>
    </w:p>
    <w:p w14:paraId="78B705AC" w14:textId="77777777" w:rsidR="00834266" w:rsidRDefault="00834266" w:rsidP="00BB1727">
      <w:pPr>
        <w:spacing w:after="280"/>
        <w:jc w:val="both"/>
      </w:pPr>
      <w:r w:rsidRPr="00834266">
        <w:rPr>
          <w:noProof/>
        </w:rPr>
        <w:drawing>
          <wp:inline distT="0" distB="0" distL="0" distR="0" wp14:anchorId="2D43051A" wp14:editId="6876C376">
            <wp:extent cx="5257800" cy="1619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4167" b="20238"/>
                    <a:stretch/>
                  </pic:blipFill>
                  <pic:spPr bwMode="auto">
                    <a:xfrm>
                      <a:off x="0" y="0"/>
                      <a:ext cx="5257800" cy="1619250"/>
                    </a:xfrm>
                    <a:prstGeom prst="rect">
                      <a:avLst/>
                    </a:prstGeom>
                    <a:ln>
                      <a:noFill/>
                    </a:ln>
                    <a:extLst>
                      <a:ext uri="{53640926-AAD7-44D8-BBD7-CCE9431645EC}">
                        <a14:shadowObscured xmlns:a14="http://schemas.microsoft.com/office/drawing/2010/main"/>
                      </a:ext>
                    </a:extLst>
                  </pic:spPr>
                </pic:pic>
              </a:graphicData>
            </a:graphic>
          </wp:inline>
        </w:drawing>
      </w:r>
    </w:p>
    <w:p w14:paraId="20619451" w14:textId="58811A27" w:rsidR="00834266" w:rsidRPr="00E30FF3" w:rsidRDefault="00E30FF3" w:rsidP="00BB1727">
      <w:pPr>
        <w:spacing w:after="280"/>
        <w:jc w:val="both"/>
        <w:rPr>
          <w:rFonts w:hAnsi="Times New Roman" w:cs="Times New Roman"/>
          <w:bCs/>
          <w:sz w:val="24"/>
          <w:szCs w:val="24"/>
        </w:rPr>
      </w:pPr>
      <w:r>
        <w:rPr>
          <w:rFonts w:hAnsi="Times New Roman" w:cs="Times New Roman"/>
          <w:bCs/>
          <w:i/>
          <w:iCs/>
          <w:sz w:val="24"/>
          <w:szCs w:val="24"/>
        </w:rPr>
        <w:tab/>
      </w:r>
      <w:r w:rsidRPr="00E30FF3">
        <w:rPr>
          <w:rFonts w:hAnsi="Times New Roman" w:cs="Times New Roman"/>
          <w:bCs/>
          <w:i/>
          <w:iCs/>
          <w:sz w:val="24"/>
          <w:szCs w:val="24"/>
        </w:rPr>
        <w:t>Figure 3.1</w:t>
      </w:r>
      <w:r w:rsidRPr="00E30FF3">
        <w:rPr>
          <w:rFonts w:hAnsi="Times New Roman" w:cs="Times New Roman"/>
          <w:bCs/>
          <w:sz w:val="24"/>
          <w:szCs w:val="24"/>
        </w:rPr>
        <w:t xml:space="preserve"> – Une validation croisée en 5 </w:t>
      </w:r>
      <w:proofErr w:type="spellStart"/>
      <w:r w:rsidRPr="00E30FF3">
        <w:rPr>
          <w:rFonts w:hAnsi="Times New Roman" w:cs="Times New Roman"/>
          <w:bCs/>
          <w:sz w:val="24"/>
          <w:szCs w:val="24"/>
        </w:rPr>
        <w:t>folds</w:t>
      </w:r>
      <w:proofErr w:type="spellEnd"/>
      <w:r w:rsidRPr="00E30FF3">
        <w:rPr>
          <w:rFonts w:hAnsi="Times New Roman" w:cs="Times New Roman"/>
          <w:bCs/>
          <w:sz w:val="24"/>
          <w:szCs w:val="24"/>
        </w:rPr>
        <w:t xml:space="preserve"> : Chaque observation appartient à un des 5 jeux de validation (en blanc) et aux 4 autres jeux d'entraînement (en noir).</w:t>
      </w:r>
    </w:p>
    <w:p w14:paraId="5A83B294" w14:textId="77777777" w:rsidR="00834266" w:rsidRDefault="00834266" w:rsidP="00BB1727">
      <w:pPr>
        <w:spacing w:after="280"/>
        <w:jc w:val="both"/>
        <w:rPr>
          <w:b/>
          <w:color w:val="666666"/>
        </w:rPr>
      </w:pPr>
    </w:p>
    <w:p w14:paraId="0966B8BA" w14:textId="77777777" w:rsidR="00270D0B" w:rsidRPr="00E30FF3" w:rsidRDefault="00BB1727" w:rsidP="00E30FF3">
      <w:pPr>
        <w:pStyle w:val="2"/>
        <w:rPr>
          <w:rFonts w:ascii="Times New Roman" w:hAnsi="Times New Roman" w:cs="Times New Roman"/>
          <w:b/>
          <w:bCs/>
          <w:color w:val="auto"/>
          <w:sz w:val="28"/>
          <w:szCs w:val="28"/>
        </w:rPr>
      </w:pPr>
      <w:r w:rsidRPr="00E30FF3">
        <w:rPr>
          <w:rFonts w:ascii="Times New Roman" w:hAnsi="Times New Roman" w:cs="Times New Roman"/>
          <w:b/>
          <w:bCs/>
          <w:color w:val="auto"/>
          <w:sz w:val="28"/>
          <w:szCs w:val="28"/>
        </w:rPr>
        <w:t>Stratification</w:t>
      </w:r>
    </w:p>
    <w:p w14:paraId="5B2ECC23" w14:textId="30BB791C" w:rsidR="00E30FF3" w:rsidRPr="00E30FF3" w:rsidRDefault="00E30FF3" w:rsidP="00834266">
      <w:pPr>
        <w:spacing w:after="0"/>
      </w:pPr>
      <w:r>
        <w:rPr>
          <w:b/>
        </w:rPr>
        <w:tab/>
      </w:r>
      <w:r w:rsidR="00BB1727">
        <w:rPr>
          <w:b/>
        </w:rPr>
        <w:t>D</w:t>
      </w:r>
      <w:r w:rsidR="00BB1727">
        <w:rPr>
          <w:b/>
        </w:rPr>
        <w:t>é</w:t>
      </w:r>
      <w:r w:rsidR="00BB1727">
        <w:rPr>
          <w:b/>
        </w:rPr>
        <w:t>finition 3.3 (Validation crois</w:t>
      </w:r>
      <w:r w:rsidR="00BB1727">
        <w:rPr>
          <w:b/>
        </w:rPr>
        <w:t>é</w:t>
      </w:r>
      <w:r w:rsidR="00BB1727">
        <w:rPr>
          <w:b/>
        </w:rPr>
        <w:t>e stratifi</w:t>
      </w:r>
      <w:r w:rsidR="00BB1727">
        <w:rPr>
          <w:b/>
        </w:rPr>
        <w:t>é</w:t>
      </w:r>
      <w:r w:rsidR="00BB1727">
        <w:rPr>
          <w:b/>
        </w:rPr>
        <w:t>e)</w:t>
      </w:r>
    </w:p>
    <w:p w14:paraId="7E5BBA2F" w14:textId="734EA3AD" w:rsidR="00270D0B" w:rsidRDefault="00E30FF3" w:rsidP="00BB1727">
      <w:pPr>
        <w:spacing w:after="280"/>
        <w:jc w:val="both"/>
      </w:pPr>
      <w:r>
        <w:rPr>
          <w:rFonts w:eastAsia="Times New Roman" w:hAnsi="Times New Roman" w:cs="Times New Roman"/>
        </w:rPr>
        <w:lastRenderedPageBreak/>
        <w:tab/>
      </w:r>
      <w:r w:rsidR="00BB1727">
        <w:rPr>
          <w:rFonts w:eastAsia="Times New Roman" w:hAnsi="Times New Roman" w:cs="Times New Roman"/>
        </w:rPr>
        <w:t xml:space="preserve">Une validation croisée est dite </w:t>
      </w:r>
      <w:r w:rsidR="00BB1727">
        <w:rPr>
          <w:b/>
        </w:rPr>
        <w:t>stratifi</w:t>
      </w:r>
      <w:r w:rsidR="00BB1727">
        <w:rPr>
          <w:b/>
        </w:rPr>
        <w:t>é</w:t>
      </w:r>
      <w:r w:rsidR="00BB1727">
        <w:rPr>
          <w:b/>
        </w:rPr>
        <w:t>e</w:t>
      </w:r>
      <w:r w:rsidR="00BB1727">
        <w:rPr>
          <w:rFonts w:eastAsia="Times New Roman" w:hAnsi="Times New Roman" w:cs="Times New Roman"/>
        </w:rPr>
        <w:t xml:space="preserve"> si la moyenne des étiquettes des observations est sensiblement la même dans chacun des </w:t>
      </w:r>
      <m:oMath>
        <m:r>
          <w:rPr>
            <w:rFonts w:ascii="Cambria Math" w:hAnsi="Cambria Math"/>
          </w:rPr>
          <m:t>K</m:t>
        </m:r>
      </m:oMath>
      <w:r w:rsidR="00BB1727">
        <w:t xml:space="preserve"> sous-ensembles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rsidR="00BB1727">
        <w:t>:</w:t>
      </w:r>
    </w:p>
    <w:p w14:paraId="20028EE4" w14:textId="77777777" w:rsidR="00270D0B" w:rsidRDefault="00FE78F7" w:rsidP="00BB1727">
      <w:pPr>
        <w:spacing w:after="280"/>
        <w:jc w:val="both"/>
      </w:pPr>
      <m:oMathPara>
        <m:oMath>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1</m:t>
                  </m:r>
                </m:sub>
              </m:sSub>
              <m:r>
                <m:rPr>
                  <m:sty m:val="p"/>
                </m:rPr>
                <w:rPr>
                  <w:rFonts w:ascii="Cambria Math" w:hAnsi="Cambria Math"/>
                </w:rPr>
                <m:t>|</m:t>
              </m:r>
            </m:den>
          </m:f>
          <m:nary>
            <m:naryPr>
              <m:chr m:val="∑"/>
              <m:limLoc m:val="undOvr"/>
              <m:grow m:val="1"/>
              <m:supHide m:val="1"/>
              <m:ctrlPr>
                <w:rPr>
                  <w:rFonts w:ascii="Cambria Math" w:hAnsi="Cambria Math"/>
                </w:rPr>
              </m:ctrlPr>
            </m:naryPr>
            <m:sub>
              <m:r>
                <w:rPr>
                  <w:rFonts w:ascii="Cambria Math" w:hAnsi="Cambria Math"/>
                </w:rPr>
                <m:t>i</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1</m:t>
                  </m:r>
                </m:sub>
              </m:sSub>
            </m:sub>
            <m:sup/>
            <m:e>
              <m:r>
                <m:rPr>
                  <m:sty m:val="p"/>
                </m:rPr>
                <w:rPr>
                  <w:rFonts w:ascii="Cambria Math" w:hAnsi="Cambria Math"/>
                </w:rPr>
                <m:t> </m:t>
              </m:r>
            </m:e>
          </m:nary>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2</m:t>
                  </m:r>
                </m:sub>
              </m:sSub>
              <m:r>
                <m:rPr>
                  <m:sty m:val="p"/>
                </m:rPr>
                <w:rPr>
                  <w:rFonts w:ascii="Cambria Math" w:hAnsi="Cambria Math"/>
                </w:rPr>
                <m:t>|</m:t>
              </m:r>
            </m:den>
          </m:f>
          <m:nary>
            <m:naryPr>
              <m:chr m:val="∑"/>
              <m:limLoc m:val="undOvr"/>
              <m:grow m:val="1"/>
              <m:supHide m:val="1"/>
              <m:ctrlPr>
                <w:rPr>
                  <w:rFonts w:ascii="Cambria Math" w:hAnsi="Cambria Math"/>
                </w:rPr>
              </m:ctrlPr>
            </m:naryPr>
            <m:sub>
              <m:r>
                <w:rPr>
                  <w:rFonts w:ascii="Cambria Math" w:hAnsi="Cambria Math"/>
                </w:rPr>
                <m:t>i</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2</m:t>
                  </m:r>
                </m:sub>
              </m:sSub>
            </m:sub>
            <m:sup/>
            <m:e>
              <m:r>
                <m:rPr>
                  <m:sty m:val="p"/>
                </m:rPr>
                <w:rPr>
                  <w:rFonts w:ascii="Cambria Math" w:hAnsi="Cambria Math"/>
                </w:rPr>
                <m:t> </m:t>
              </m:r>
            </m:e>
          </m:nary>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 xml:space="preserve"> ≈ ⋯ ≈ </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r>
                <w:rPr>
                  <w:rFonts w:ascii="Cambria Math" w:hAnsi="Cambria Math"/>
                </w:rPr>
                <m:t>i</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sub>
            <m:sup/>
            <m:e>
              <m:r>
                <m:rPr>
                  <m:sty m:val="p"/>
                </m:rPr>
                <w:rPr>
                  <w:rFonts w:ascii="Cambria Math" w:hAnsi="Cambria Math"/>
                </w:rPr>
                <m:t> </m:t>
              </m:r>
            </m:e>
          </m:nary>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r>
                <m:rPr>
                  <m:scr m:val="script"/>
                </m:rPr>
                <w:rPr>
                  <w:rFonts w:ascii="Cambria Math" w:hAnsi="Cambria Math"/>
                </w:rPr>
                <m:t>D</m:t>
              </m:r>
              <m:r>
                <m:rPr>
                  <m:sty m:val="p"/>
                </m:rPr>
                <w:rPr>
                  <w:rFonts w:ascii="Cambria Math" w:hAnsi="Cambria Math"/>
                </w:rPr>
                <m:t>|</m:t>
              </m:r>
            </m:den>
          </m:f>
          <m:nary>
            <m:naryPr>
              <m:chr m:val="∑"/>
              <m:limLoc m:val="undOvr"/>
              <m:grow m:val="1"/>
              <m:supHide m:val="1"/>
              <m:ctrlPr>
                <w:rPr>
                  <w:rFonts w:ascii="Cambria Math" w:hAnsi="Cambria Math"/>
                </w:rPr>
              </m:ctrlPr>
            </m:naryPr>
            <m:sub>
              <m:r>
                <w:rPr>
                  <w:rFonts w:ascii="Cambria Math" w:hAnsi="Cambria Math"/>
                </w:rPr>
                <m:t>i</m:t>
              </m:r>
              <m:r>
                <m:rPr>
                  <m:sty m:val="p"/>
                </m:rPr>
                <w:rPr>
                  <w:rFonts w:ascii="Cambria Math" w:hAnsi="Cambria Math"/>
                </w:rPr>
                <m:t>∈</m:t>
              </m:r>
              <m:r>
                <m:rPr>
                  <m:scr m:val="script"/>
                </m:rPr>
                <w:rPr>
                  <w:rFonts w:ascii="Cambria Math" w:hAnsi="Cambria Math"/>
                </w:rPr>
                <m:t>D</m:t>
              </m:r>
            </m:sub>
            <m:sup/>
            <m:e>
              <m:r>
                <m:rPr>
                  <m:sty m:val="p"/>
                </m:rPr>
                <w:rPr>
                  <w:rFonts w:ascii="Cambria Math" w:hAnsi="Cambria Math"/>
                </w:rPr>
                <m:t> </m:t>
              </m:r>
            </m:e>
          </m:nary>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oMath>
      </m:oMathPara>
    </w:p>
    <w:p w14:paraId="1D30975F" w14:textId="2321F420"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Dans le cas d'un problème de classification, cela signifie que la proportion d'exemples de chaque classe est la même dans chacun des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rsidR="00BB1727">
        <w:rPr>
          <w:rFonts w:eastAsia="Times New Roman" w:hAnsi="Times New Roman" w:cs="Times New Roman"/>
        </w:rPr>
        <w:t xml:space="preserve">. Cette proportion est donc aussi la même que dans le jeu de données </w:t>
      </w:r>
      <m:oMath>
        <m:r>
          <m:rPr>
            <m:scr m:val="script"/>
          </m:rPr>
          <w:rPr>
            <w:rFonts w:ascii="Cambria Math" w:hAnsi="Cambria Math"/>
          </w:rPr>
          <m:t>D</m:t>
        </m:r>
      </m:oMath>
      <w:r w:rsidR="00BB1727">
        <w:t xml:space="preserve"> complet.</w:t>
      </w:r>
    </w:p>
    <w:p w14:paraId="6C2BE97B" w14:textId="2AEA24E0"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L'intérêt de cette procédure est de faire en sorte que la distribution des observations au sein de chaque </w:t>
      </w:r>
      <m:oMath>
        <m:sSub>
          <m:sSubPr>
            <m:ctrlPr>
              <w:rPr>
                <w:rFonts w:ascii="Cambria Math" w:hAnsi="Cambria Math"/>
              </w:rPr>
            </m:ctrlPr>
          </m:sSubPr>
          <m:e>
            <m:r>
              <m:rPr>
                <m:scr m:val="script"/>
              </m:rPr>
              <w:rPr>
                <w:rFonts w:ascii="Cambria Math" w:hAnsi="Cambria Math"/>
              </w:rPr>
              <m:t>D</m:t>
            </m:r>
          </m:e>
          <m:sub>
            <m:r>
              <w:rPr>
                <w:rFonts w:ascii="Cambria Math" w:hAnsi="Cambria Math"/>
              </w:rPr>
              <m:t>k</m:t>
            </m:r>
          </m:sub>
        </m:sSub>
      </m:oMath>
      <w:r w:rsidR="00BB1727">
        <w:rPr>
          <w:rFonts w:eastAsia="Times New Roman" w:hAnsi="Times New Roman" w:cs="Times New Roman"/>
        </w:rPr>
        <w:t xml:space="preserve"> soit la même qu'au sein du jeu de données </w:t>
      </w:r>
      <m:oMath>
        <m:r>
          <m:rPr>
            <m:scr m:val="script"/>
          </m:rPr>
          <w:rPr>
            <w:rFonts w:ascii="Cambria Math" w:hAnsi="Cambria Math"/>
          </w:rPr>
          <m:t>D</m:t>
        </m:r>
      </m:oMath>
      <w:r w:rsidR="00BB1727">
        <w:rPr>
          <w:rFonts w:eastAsia="Times New Roman" w:hAnsi="Times New Roman" w:cs="Times New Roman"/>
        </w:rPr>
        <w:t xml:space="preserve">. Imaginons que par malchance un des folds ne contienne que des exemples positifs dans son jeu d'entraînement et que des exemples négatifs dans son jeu de test : il est vraisemblable que, sur ce </w:t>
      </w:r>
      <w:proofErr w:type="spellStart"/>
      <w:r w:rsidR="00BB1727">
        <w:rPr>
          <w:rFonts w:eastAsia="Times New Roman" w:hAnsi="Times New Roman" w:cs="Times New Roman"/>
        </w:rPr>
        <w:t>fold</w:t>
      </w:r>
      <w:proofErr w:type="spellEnd"/>
      <w:r w:rsidR="00BB1727">
        <w:rPr>
          <w:rFonts w:eastAsia="Times New Roman" w:hAnsi="Times New Roman" w:cs="Times New Roman"/>
        </w:rPr>
        <w:t>, tout modèle apprenne à prédire que tout est positif et ait une très mauvaise performance.</w:t>
      </w:r>
    </w:p>
    <w:p w14:paraId="6BA908F2" w14:textId="6C755E03" w:rsidR="00270D0B" w:rsidRDefault="00E30FF3" w:rsidP="00BB1727">
      <w:pPr>
        <w:spacing w:before="240" w:line="271" w:lineRule="auto"/>
        <w:jc w:val="both"/>
      </w:pPr>
      <w:bookmarkStart w:id="7" w:name="leave_one_out"/>
      <w:r>
        <w:rPr>
          <w:b/>
          <w:sz w:val="33"/>
        </w:rPr>
        <w:tab/>
      </w:r>
      <w:proofErr w:type="spellStart"/>
      <w:r w:rsidR="00BB1727">
        <w:rPr>
          <w:b/>
          <w:sz w:val="33"/>
        </w:rPr>
        <w:t>Leave</w:t>
      </w:r>
      <w:proofErr w:type="spellEnd"/>
      <w:r w:rsidR="00BB1727">
        <w:rPr>
          <w:b/>
          <w:sz w:val="33"/>
        </w:rPr>
        <w:t>-one-out</w:t>
      </w:r>
      <w:bookmarkEnd w:id="7"/>
    </w:p>
    <w:p w14:paraId="4EC91018" w14:textId="7395771E"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Un algorithme d'apprentissage apprendra d'autant mieux qu'il y a davantage de données disponibles pour l'entraînement : plus on connaît d'étiquettes pour des observations de l'espace </w:t>
      </w:r>
      <m:oMath>
        <m:r>
          <m:rPr>
            <m:scr m:val="script"/>
          </m:rPr>
          <w:rPr>
            <w:rFonts w:ascii="Cambria Math" w:hAnsi="Cambria Math"/>
          </w:rPr>
          <m:t>X</m:t>
        </m:r>
      </m:oMath>
      <w:r w:rsidR="00BB1727">
        <w:rPr>
          <w:rFonts w:eastAsia="Times New Roman" w:hAnsi="Times New Roman" w:cs="Times New Roman"/>
        </w:rPr>
        <w:t xml:space="preserve">, plus on peut contraindre le modèle à les respecter. Or pour un jeu de données de taille </w:t>
      </w:r>
      <m:oMath>
        <m:r>
          <w:rPr>
            <w:rFonts w:ascii="Cambria Math" w:hAnsi="Cambria Math"/>
          </w:rPr>
          <m:t>n</m:t>
        </m:r>
      </m:oMath>
      <w:r w:rsidR="00BB1727">
        <w:rPr>
          <w:rFonts w:eastAsia="Times New Roman" w:hAnsi="Times New Roman" w:cs="Times New Roman"/>
        </w:rPr>
        <w:t xml:space="preserve">, un jeu de test d'une validation croisée à </w:t>
      </w:r>
      <m:oMath>
        <m:r>
          <w:rPr>
            <w:rFonts w:ascii="Cambria Math" w:hAnsi="Cambria Math"/>
          </w:rPr>
          <m:t>K</m:t>
        </m:r>
      </m:oMath>
      <w:r w:rsidR="00BB1727">
        <w:t xml:space="preserve"> folds contient </w:t>
      </w:r>
      <m:oMath>
        <m:f>
          <m:fPr>
            <m:ctrlPr>
              <w:rPr>
                <w:rFonts w:ascii="Cambria Math" w:hAnsi="Cambria Math"/>
              </w:rPr>
            </m:ctrlPr>
          </m:fPr>
          <m:num>
            <m:r>
              <m:rPr>
                <m:sty m:val="p"/>
              </m:rPr>
              <w:rPr>
                <w:rFonts w:ascii="Cambria Math" w:hAnsi="Cambria Math"/>
              </w:rPr>
              <m:t>(</m:t>
            </m:r>
            <m:r>
              <w:rPr>
                <w:rFonts w:ascii="Cambria Math" w:hAnsi="Cambria Math"/>
              </w:rPr>
              <m:t>K</m:t>
            </m:r>
            <m:r>
              <m:rPr>
                <m:sty m:val="p"/>
              </m:rPr>
              <w:rPr>
                <w:rFonts w:ascii="Cambria Math" w:hAnsi="Cambria Math"/>
              </w:rPr>
              <m:t>-1)</m:t>
            </m:r>
            <m:r>
              <w:rPr>
                <w:rFonts w:ascii="Cambria Math" w:hAnsi="Cambria Math"/>
              </w:rPr>
              <m:t>n</m:t>
            </m:r>
          </m:num>
          <m:den>
            <m:r>
              <w:rPr>
                <w:rFonts w:ascii="Cambria Math" w:hAnsi="Cambria Math"/>
              </w:rPr>
              <m:t>K</m:t>
            </m:r>
          </m:den>
        </m:f>
      </m:oMath>
      <w:r w:rsidR="00BB1727">
        <w:rPr>
          <w:rFonts w:eastAsia="Times New Roman" w:hAnsi="Times New Roman" w:cs="Times New Roman"/>
        </w:rPr>
        <w:t xml:space="preserve"> points : les modèles entraînés apprendront d'autant mieux sur chacun des </w:t>
      </w:r>
      <w:proofErr w:type="spellStart"/>
      <w:r w:rsidR="00BB1727">
        <w:rPr>
          <w:rFonts w:eastAsia="Times New Roman" w:hAnsi="Times New Roman" w:cs="Times New Roman"/>
        </w:rPr>
        <w:t>folds</w:t>
      </w:r>
      <w:proofErr w:type="spellEnd"/>
      <w:r w:rsidR="00BB1727">
        <w:rPr>
          <w:rFonts w:eastAsia="Times New Roman" w:hAnsi="Times New Roman" w:cs="Times New Roman"/>
        </w:rPr>
        <w:t xml:space="preserve"> qu'ils sont grands, ce qui nous pousse à considérer le cas où </w:t>
      </w:r>
      <m:oMath>
        <m:r>
          <w:rPr>
            <w:rFonts w:ascii="Cambria Math" w:hAnsi="Cambria Math"/>
          </w:rPr>
          <m:t>K</m:t>
        </m:r>
        <m:r>
          <m:rPr>
            <m:sty m:val="p"/>
          </m:rPr>
          <w:rPr>
            <w:rFonts w:ascii="Cambria Math" w:hAnsi="Cambria Math"/>
          </w:rPr>
          <m:t>=</m:t>
        </m:r>
        <m:r>
          <w:rPr>
            <w:rFonts w:ascii="Cambria Math" w:hAnsi="Cambria Math"/>
          </w:rPr>
          <m:t>n</m:t>
        </m:r>
      </m:oMath>
      <w:r w:rsidR="00BB1727">
        <w:t>.</w:t>
      </w:r>
    </w:p>
    <w:p w14:paraId="127B3D04" w14:textId="4807C09F" w:rsidR="00834266" w:rsidRDefault="00E30FF3" w:rsidP="00834266">
      <w:pPr>
        <w:spacing w:after="0"/>
        <w:rPr>
          <w:rFonts w:eastAsia="Times New Roman" w:hAnsi="Times New Roman" w:cs="Times New Roman"/>
        </w:rPr>
      </w:pPr>
      <w:r>
        <w:rPr>
          <w:b/>
        </w:rPr>
        <w:tab/>
      </w:r>
      <w:r w:rsidR="00BB1727">
        <w:rPr>
          <w:b/>
        </w:rPr>
        <w:t>D</w:t>
      </w:r>
      <w:r w:rsidR="00BB1727">
        <w:rPr>
          <w:b/>
        </w:rPr>
        <w:t>é</w:t>
      </w:r>
      <w:r w:rsidR="00BB1727">
        <w:rPr>
          <w:b/>
        </w:rPr>
        <w:t>finition 3.4 (Validation crois</w:t>
      </w:r>
      <w:r w:rsidR="00BB1727">
        <w:rPr>
          <w:b/>
        </w:rPr>
        <w:t>é</w:t>
      </w:r>
      <w:r w:rsidR="00BB1727">
        <w:rPr>
          <w:b/>
        </w:rPr>
        <w:t xml:space="preserve">e </w:t>
      </w:r>
      <w:proofErr w:type="spellStart"/>
      <w:r w:rsidR="00BB1727">
        <w:rPr>
          <w:b/>
        </w:rPr>
        <w:t>leave</w:t>
      </w:r>
      <w:proofErr w:type="spellEnd"/>
      <w:r w:rsidR="00BB1727">
        <w:rPr>
          <w:b/>
        </w:rPr>
        <w:t>-one-out)</w:t>
      </w:r>
      <w:r w:rsidR="00BB1727">
        <w:br/>
      </w:r>
    </w:p>
    <w:p w14:paraId="1CE08332" w14:textId="120B4540"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Une validation croisée dont le nombre de </w:t>
      </w:r>
      <w:proofErr w:type="spellStart"/>
      <w:r w:rsidR="00BB1727">
        <w:rPr>
          <w:rFonts w:eastAsia="Times New Roman" w:hAnsi="Times New Roman" w:cs="Times New Roman"/>
        </w:rPr>
        <w:t>folds</w:t>
      </w:r>
      <w:proofErr w:type="spellEnd"/>
      <w:r w:rsidR="00BB1727">
        <w:rPr>
          <w:rFonts w:eastAsia="Times New Roman" w:hAnsi="Times New Roman" w:cs="Times New Roman"/>
        </w:rPr>
        <w:t xml:space="preserve"> est égal au nombre d'observations dans le jeu d'entraînement, et dont chaque </w:t>
      </w:r>
      <w:proofErr w:type="spellStart"/>
      <w:r w:rsidR="00BB1727">
        <w:rPr>
          <w:rFonts w:eastAsia="Times New Roman" w:hAnsi="Times New Roman" w:cs="Times New Roman"/>
        </w:rPr>
        <w:t>fold</w:t>
      </w:r>
      <w:proofErr w:type="spellEnd"/>
      <w:r w:rsidR="00BB1727">
        <w:rPr>
          <w:rFonts w:eastAsia="Times New Roman" w:hAnsi="Times New Roman" w:cs="Times New Roman"/>
        </w:rPr>
        <w:t xml:space="preserve"> est donc composé d'un jeu d'entraînement de taille </w:t>
      </w:r>
      <m:oMath>
        <m:r>
          <w:rPr>
            <w:rFonts w:ascii="Cambria Math" w:hAnsi="Cambria Math"/>
          </w:rPr>
          <m:t>n</m:t>
        </m:r>
        <m:r>
          <m:rPr>
            <m:sty m:val="p"/>
          </m:rPr>
          <w:rPr>
            <w:rFonts w:ascii="Cambria Math" w:hAnsi="Cambria Math"/>
          </w:rPr>
          <m:t>-1</m:t>
        </m:r>
      </m:oMath>
      <w:r w:rsidR="00BB1727">
        <w:rPr>
          <w:rFonts w:eastAsia="Times New Roman" w:hAnsi="Times New Roman" w:cs="Times New Roman"/>
        </w:rPr>
        <w:t xml:space="preserve"> et d'un jeu de test de taille 1, est appelée </w:t>
      </w:r>
      <w:proofErr w:type="spellStart"/>
      <w:r w:rsidR="00BB1727">
        <w:rPr>
          <w:b/>
        </w:rPr>
        <w:t>leave</w:t>
      </w:r>
      <w:proofErr w:type="spellEnd"/>
      <w:r w:rsidR="00BB1727">
        <w:rPr>
          <w:b/>
        </w:rPr>
        <w:t>-one-out</w:t>
      </w:r>
      <w:r w:rsidR="00BB1727">
        <w:rPr>
          <w:rFonts w:eastAsia="Times New Roman" w:hAnsi="Times New Roman" w:cs="Times New Roman"/>
        </w:rPr>
        <w:t xml:space="preserve"> : on met de côté, pour chaque </w:t>
      </w:r>
      <w:proofErr w:type="spellStart"/>
      <w:r w:rsidR="00BB1727">
        <w:rPr>
          <w:rFonts w:eastAsia="Times New Roman" w:hAnsi="Times New Roman" w:cs="Times New Roman"/>
        </w:rPr>
        <w:t>fold</w:t>
      </w:r>
      <w:proofErr w:type="spellEnd"/>
      <w:r w:rsidR="00BB1727">
        <w:rPr>
          <w:rFonts w:eastAsia="Times New Roman" w:hAnsi="Times New Roman" w:cs="Times New Roman"/>
        </w:rPr>
        <w:t>, un unique exemple.</w:t>
      </w:r>
    </w:p>
    <w:p w14:paraId="6C15C63D" w14:textId="556C7653"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L'évaluation par </w:t>
      </w:r>
      <w:proofErr w:type="spellStart"/>
      <w:r w:rsidR="00BB1727">
        <w:rPr>
          <w:rFonts w:eastAsia="Times New Roman" w:hAnsi="Times New Roman" w:cs="Times New Roman"/>
        </w:rPr>
        <w:t>leave</w:t>
      </w:r>
      <w:proofErr w:type="spellEnd"/>
      <w:r w:rsidR="00BB1727">
        <w:rPr>
          <w:rFonts w:eastAsia="Times New Roman" w:hAnsi="Times New Roman" w:cs="Times New Roman"/>
        </w:rPr>
        <w:t xml:space="preserve">-one-out présente deux inconvénients. Tout d'abord, elle requiert un grand temps de calcul : on entraîne </w:t>
      </w:r>
      <m:oMath>
        <m:r>
          <w:rPr>
            <w:rFonts w:ascii="Cambria Math" w:hAnsi="Cambria Math"/>
          </w:rPr>
          <m:t>n</m:t>
        </m:r>
      </m:oMath>
      <w:r w:rsidR="00BB1727">
        <w:rPr>
          <w:rFonts w:eastAsia="Times New Roman" w:hAnsi="Times New Roman" w:cs="Times New Roman"/>
        </w:rPr>
        <w:t xml:space="preserve"> modèles, chacun sur </w:t>
      </w:r>
      <m:oMath>
        <m:r>
          <w:rPr>
            <w:rFonts w:ascii="Cambria Math" w:hAnsi="Cambria Math"/>
          </w:rPr>
          <m:t>n</m:t>
        </m:r>
        <m:r>
          <m:rPr>
            <m:sty m:val="p"/>
          </m:rPr>
          <w:rPr>
            <w:rFonts w:ascii="Cambria Math" w:hAnsi="Cambria Math"/>
          </w:rPr>
          <m:t>-1</m:t>
        </m:r>
      </m:oMath>
      <w:r w:rsidR="00BB1727">
        <w:t xml:space="preserve"> observations, au lieu de (dans le cas </w:t>
      </w:r>
      <m:oMath>
        <m:r>
          <w:rPr>
            <w:rFonts w:ascii="Cambria Math" w:hAnsi="Cambria Math"/>
          </w:rPr>
          <m:t>K</m:t>
        </m:r>
        <m:r>
          <m:rPr>
            <m:sty m:val="p"/>
          </m:rPr>
          <w:rPr>
            <w:rFonts w:ascii="Cambria Math" w:hAnsi="Cambria Math"/>
          </w:rPr>
          <m:t>=10</m:t>
        </m:r>
      </m:oMath>
      <w:r w:rsidR="00BB1727">
        <w:rPr>
          <w:rFonts w:eastAsia="Times New Roman" w:hAnsi="Times New Roman" w:cs="Times New Roman"/>
        </w:rPr>
        <w:t xml:space="preserve">) 10 modèles, chacun </w:t>
      </w:r>
      <w:r w:rsidR="00BB1727">
        <w:rPr>
          <w:rFonts w:eastAsia="Times New Roman" w:hAnsi="Times New Roman" w:cs="Times New Roman"/>
        </w:rPr>
        <w:lastRenderedPageBreak/>
        <w:t>sur 90% des observations. De plus, les jeux d'entraînement ainsi formés sont très similaires entre eux. Les modèles entraînés seront eux aussi très similaires, et généralement peu différents d'un modèle entraîné sur l'intégralité du jeu de données. Par contre, les jeux de test seront disjoints, et les performances pourront ainsi avoir une grande variabilité, ce qui compliquera leur interprétation.</w:t>
      </w:r>
    </w:p>
    <w:p w14:paraId="1A631164" w14:textId="77777777" w:rsidR="00270D0B" w:rsidRPr="00E30FF3" w:rsidRDefault="00BB1727" w:rsidP="00E30FF3">
      <w:pPr>
        <w:pStyle w:val="3"/>
        <w:spacing w:line="360" w:lineRule="auto"/>
        <w:rPr>
          <w:rFonts w:ascii="Times New Roman" w:hAnsi="Times New Roman" w:cs="Times New Roman"/>
          <w:b/>
          <w:bCs/>
          <w:color w:val="auto"/>
          <w:sz w:val="28"/>
          <w:szCs w:val="28"/>
        </w:rPr>
      </w:pPr>
      <w:bookmarkStart w:id="8" w:name="bm_3_1_4_bootstrap"/>
      <w:r w:rsidRPr="00E30FF3">
        <w:rPr>
          <w:rFonts w:ascii="Times New Roman" w:hAnsi="Times New Roman" w:cs="Times New Roman"/>
          <w:b/>
          <w:bCs/>
          <w:color w:val="auto"/>
          <w:sz w:val="28"/>
          <w:szCs w:val="28"/>
        </w:rPr>
        <w:t>3.1.4 Bootstrap</w:t>
      </w:r>
      <w:bookmarkEnd w:id="8"/>
    </w:p>
    <w:p w14:paraId="659EED49" w14:textId="28B13517"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Une autre façon de rééchantillonner les données afin d'estimer l'erreur de généralisation est connue sous le nom de </w:t>
      </w:r>
      <w:proofErr w:type="spellStart"/>
      <w:r w:rsidR="00BB1727">
        <w:rPr>
          <w:b/>
        </w:rPr>
        <w:t>bootstrap</w:t>
      </w:r>
      <w:proofErr w:type="spellEnd"/>
      <w:r w:rsidR="00BB1727">
        <w:t>.</w:t>
      </w:r>
    </w:p>
    <w:p w14:paraId="0ADCBF6C" w14:textId="51A84569" w:rsidR="00E30FF3" w:rsidRDefault="00E30FF3" w:rsidP="00BB1727">
      <w:pPr>
        <w:spacing w:after="280"/>
        <w:jc w:val="both"/>
      </w:pPr>
      <w:r>
        <w:rPr>
          <w:b/>
        </w:rPr>
        <w:tab/>
      </w:r>
      <w:r w:rsidR="00BB1727">
        <w:rPr>
          <w:b/>
        </w:rPr>
        <w:t>D</w:t>
      </w:r>
      <w:r w:rsidR="00BB1727">
        <w:rPr>
          <w:b/>
        </w:rPr>
        <w:t>é</w:t>
      </w:r>
      <w:r w:rsidR="00BB1727">
        <w:rPr>
          <w:b/>
        </w:rPr>
        <w:t>finition 3.5 (Bootstrap)</w:t>
      </w:r>
    </w:p>
    <w:p w14:paraId="1D02000F" w14:textId="3F7BA94F"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Étant donné un jeu </w:t>
      </w:r>
      <m:oMath>
        <m:r>
          <m:rPr>
            <m:scr m:val="script"/>
          </m:rPr>
          <w:rPr>
            <w:rFonts w:ascii="Cambria Math" w:hAnsi="Cambria Math"/>
          </w:rPr>
          <m:t>D</m:t>
        </m:r>
      </m:oMath>
      <w:r w:rsidR="00BB1727">
        <w:t xml:space="preserve"> de </w:t>
      </w:r>
      <m:oMath>
        <m:r>
          <w:rPr>
            <w:rFonts w:ascii="Cambria Math" w:hAnsi="Cambria Math"/>
          </w:rPr>
          <m:t>n</m:t>
        </m:r>
      </m:oMath>
      <w:r w:rsidR="00BB1727">
        <w:t xml:space="preserve"> observations, et un nombre </w:t>
      </w:r>
      <m:oMath>
        <m:r>
          <w:rPr>
            <w:rFonts w:ascii="Cambria Math" w:hAnsi="Cambria Math"/>
          </w:rPr>
          <m:t>B</m:t>
        </m:r>
      </m:oMath>
      <w:r w:rsidR="00BB1727">
        <w:t xml:space="preserve">, on appelle </w:t>
      </w:r>
      <w:proofErr w:type="spellStart"/>
      <w:r w:rsidR="00BB1727">
        <w:rPr>
          <w:b/>
        </w:rPr>
        <w:t>bootstrap</w:t>
      </w:r>
      <w:proofErr w:type="spellEnd"/>
      <w:r w:rsidR="00BB1727">
        <w:rPr>
          <w:rFonts w:eastAsia="Times New Roman" w:hAnsi="Times New Roman" w:cs="Times New Roman"/>
        </w:rPr>
        <w:t xml:space="preserve"> la procédure qui consiste à créer </w:t>
      </w:r>
      <m:oMath>
        <m:r>
          <w:rPr>
            <w:rFonts w:ascii="Cambria Math" w:hAnsi="Cambria Math"/>
          </w:rPr>
          <m:t>B</m:t>
        </m:r>
      </m:oMath>
      <w:r w:rsidR="00BB1727">
        <w:rPr>
          <w:rFonts w:eastAsia="Times New Roman" w:hAnsi="Times New Roman" w:cs="Times New Roman"/>
        </w:rPr>
        <w:t xml:space="preserve"> échantillons </w:t>
      </w:r>
      <m:oMath>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t xml:space="preserve"> de </w:t>
      </w:r>
      <m:oMath>
        <m:r>
          <m:rPr>
            <m:scr m:val="script"/>
          </m:rPr>
          <w:rPr>
            <w:rFonts w:ascii="Cambria Math" w:hAnsi="Cambria Math"/>
          </w:rPr>
          <m:t>D</m:t>
        </m:r>
      </m:oMath>
      <w:r w:rsidR="00BB1727">
        <w:t xml:space="preserve">, obtenus chacun en tirant </w:t>
      </w:r>
      <m:oMath>
        <m:r>
          <w:rPr>
            <w:rFonts w:ascii="Cambria Math" w:hAnsi="Cambria Math"/>
          </w:rPr>
          <m:t>n</m:t>
        </m:r>
      </m:oMath>
      <w:r w:rsidR="00BB1727">
        <w:t xml:space="preserve"> exemples de </w:t>
      </w:r>
      <m:oMath>
        <m:r>
          <m:rPr>
            <m:scr m:val="script"/>
          </m:rPr>
          <w:rPr>
            <w:rFonts w:ascii="Cambria Math" w:hAnsi="Cambria Math"/>
          </w:rPr>
          <m:t>D</m:t>
        </m:r>
      </m:oMath>
      <w:r w:rsidR="00BB1727">
        <w:t xml:space="preserve"> </w:t>
      </w:r>
      <w:r w:rsidR="00BB1727">
        <w:rPr>
          <w:b/>
        </w:rPr>
        <w:t>avec remplacement</w:t>
      </w:r>
      <w:r w:rsidR="00BB1727">
        <w:rPr>
          <w:rFonts w:eastAsia="Times New Roman" w:hAnsi="Times New Roman" w:cs="Times New Roman"/>
        </w:rPr>
        <w:t xml:space="preserve">. Ainsi, chaque exemple peut apparaître plusieurs fois, ou pas du tout, dans </w:t>
      </w:r>
      <m:oMath>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t>.</w:t>
      </w:r>
    </w:p>
    <w:p w14:paraId="70C9008F" w14:textId="061AFF37"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Le </w:t>
      </w:r>
      <w:proofErr w:type="spellStart"/>
      <w:r w:rsidR="00BB1727">
        <w:rPr>
          <w:rFonts w:eastAsia="Times New Roman" w:hAnsi="Times New Roman" w:cs="Times New Roman"/>
        </w:rPr>
        <w:t>bootstrap</w:t>
      </w:r>
      <w:proofErr w:type="spellEnd"/>
      <w:r w:rsidR="00BB1727">
        <w:rPr>
          <w:rFonts w:eastAsia="Times New Roman" w:hAnsi="Times New Roman" w:cs="Times New Roman"/>
        </w:rPr>
        <w:t xml:space="preserve"> est une procédure couramment utilisée en statistiques pour estimer un paramètre en fonction de son estimation sur les </w:t>
      </w:r>
      <m:oMath>
        <m:r>
          <w:rPr>
            <w:rFonts w:ascii="Cambria Math" w:hAnsi="Cambria Math"/>
          </w:rPr>
          <m:t>B</m:t>
        </m:r>
      </m:oMath>
      <w:r w:rsidR="00BB1727">
        <w:rPr>
          <w:rFonts w:eastAsia="Times New Roman" w:hAnsi="Times New Roman" w:cs="Times New Roman"/>
        </w:rPr>
        <w:t xml:space="preserve"> échantillons. En la suivant, on pourrait entraîner le modèle à évaluer sur chaque échantillon </w:t>
      </w:r>
      <m:oMath>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rPr>
          <w:rFonts w:eastAsia="Times New Roman" w:hAnsi="Times New Roman" w:cs="Times New Roman"/>
        </w:rPr>
        <w:t xml:space="preserve">, puis évaluer sa performance sur l'intégralité de </w:t>
      </w:r>
      <m:oMath>
        <m:r>
          <m:rPr>
            <m:scr m:val="script"/>
          </m:rPr>
          <w:rPr>
            <w:rFonts w:ascii="Cambria Math" w:hAnsi="Cambria Math"/>
          </w:rPr>
          <m:t>D</m:t>
        </m:r>
      </m:oMath>
      <w:r w:rsidR="00BB1727">
        <w:rPr>
          <w:rFonts w:eastAsia="Times New Roman" w:hAnsi="Times New Roman" w:cs="Times New Roman"/>
        </w:rPr>
        <w:t xml:space="preserve">. Cependant, cette estimation serait biaisée par la présence d'une partie des exemples de </w:t>
      </w:r>
      <m:oMath>
        <m:r>
          <m:rPr>
            <m:scr m:val="script"/>
          </m:rPr>
          <w:rPr>
            <w:rFonts w:ascii="Cambria Math" w:hAnsi="Cambria Math"/>
          </w:rPr>
          <m:t>D</m:t>
        </m:r>
      </m:oMath>
      <w:r w:rsidR="00BB1727">
        <w:t xml:space="preserve"> dans </w:t>
      </w:r>
      <m:oMath>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t xml:space="preserve">. Il faut donc se limiter aux exemples de </w:t>
      </w:r>
      <m:oMath>
        <m:r>
          <m:rPr>
            <m:scr m:val="script"/>
          </m:rPr>
          <w:rPr>
            <w:rFonts w:ascii="Cambria Math" w:hAnsi="Cambria Math"/>
          </w:rPr>
          <m:t>D</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rPr>
          <w:rFonts w:eastAsia="Times New Roman" w:hAnsi="Times New Roman" w:cs="Times New Roman"/>
        </w:rPr>
        <w:t>. En pratique, cette procédure est jugée trop complexe pour être souvent appliquée.</w:t>
      </w:r>
    </w:p>
    <w:p w14:paraId="6A27683B" w14:textId="54BD8758" w:rsidR="00270D0B" w:rsidRDefault="00E30FF3" w:rsidP="00BB1727">
      <w:pPr>
        <w:spacing w:after="280"/>
        <w:jc w:val="both"/>
      </w:pPr>
      <w:r>
        <w:rPr>
          <w:rFonts w:eastAsia="Times New Roman" w:hAnsi="Times New Roman" w:cs="Times New Roman"/>
        </w:rPr>
        <w:tab/>
      </w:r>
      <w:r w:rsidR="00607616" w:rsidRPr="00E30FF3">
        <w:rPr>
          <w:rFonts w:eastAsia="Times New Roman" w:hAnsi="Times New Roman" w:cs="Times New Roman"/>
          <w:b/>
          <w:bCs/>
        </w:rPr>
        <w:t>Remarque</w:t>
      </w:r>
      <w:r w:rsidR="00607616">
        <w:rPr>
          <w:rFonts w:eastAsia="Times New Roman" w:hAnsi="Times New Roman" w:cs="Times New Roman"/>
        </w:rPr>
        <w:t xml:space="preserve">. </w:t>
      </w:r>
      <w:r w:rsidR="00BB1727">
        <w:rPr>
          <w:rFonts w:eastAsia="Times New Roman" w:hAnsi="Times New Roman" w:cs="Times New Roman"/>
        </w:rPr>
        <w:t xml:space="preserve">La probabilité que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oMath>
      <w:r w:rsidR="00BB1727">
        <w:t xml:space="preserve"> apparaisse dans </w:t>
      </w:r>
      <m:oMath>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rPr>
          <w:rFonts w:eastAsia="Times New Roman" w:hAnsi="Times New Roman" w:cs="Times New Roman"/>
        </w:rPr>
        <w:t xml:space="preserve"> peut être calculée comme le complémentaire à 1 de la probabilité que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oMath>
      <w:r w:rsidR="00BB1727">
        <w:rPr>
          <w:rFonts w:eastAsia="Times New Roman" w:hAnsi="Times New Roman" w:cs="Times New Roman"/>
        </w:rPr>
        <w:t xml:space="preserve"> ne soit tiré aucune des </w:t>
      </w:r>
      <m:oMath>
        <m:r>
          <w:rPr>
            <w:rFonts w:ascii="Cambria Math" w:hAnsi="Cambria Math"/>
          </w:rPr>
          <m:t>n</m:t>
        </m:r>
      </m:oMath>
      <w:r w:rsidR="00BB1727">
        <w:rPr>
          <w:rFonts w:eastAsia="Times New Roman" w:hAnsi="Times New Roman" w:cs="Times New Roman"/>
        </w:rPr>
        <w:t xml:space="preserve"> fois. La probabilité que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oMath>
      <w:r w:rsidR="00BB1727">
        <w:rPr>
          <w:rFonts w:eastAsia="Times New Roman" w:hAnsi="Times New Roman" w:cs="Times New Roman"/>
        </w:rPr>
        <w:t xml:space="preserve"> soit tiré une fois vaut </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00BB1727">
        <w:t>.</w:t>
      </w:r>
    </w:p>
    <w:p w14:paraId="04D68A0F" w14:textId="77777777" w:rsidR="00270D0B" w:rsidRDefault="00BB1727" w:rsidP="00BB1727">
      <w:pPr>
        <w:spacing w:after="280"/>
        <w:jc w:val="both"/>
      </w:pPr>
      <w:r>
        <w:t>Ainsi</w:t>
      </w:r>
    </w:p>
    <w:p w14:paraId="357B2722" w14:textId="77777777" w:rsidR="00270D0B" w:rsidRDefault="00BB1727" w:rsidP="00BB1727">
      <w:pPr>
        <w:spacing w:after="280"/>
        <w:jc w:val="both"/>
      </w:pPr>
      <m:oMathPara>
        <m:oMath>
          <m:r>
            <m:rPr>
              <m:scr m:val="double-struck"/>
            </m:rPr>
            <w:rPr>
              <w:rFonts w:ascii="Cambria Math" w:hAnsi="Cambria Math"/>
            </w:rPr>
            <m:t>P</m:t>
          </m:r>
          <m:r>
            <m:rPr>
              <m:sty m:val="p"/>
            </m:rPr>
            <w:rPr>
              <w:rFonts w:ascii="Cambria Math" w:hAnsi="Cambria Math"/>
              <w:sz w:val="26"/>
            </w:rPr>
            <m:t>[</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r>
            <m:rPr>
              <m:sty m:val="p"/>
            </m:rPr>
            <w:rPr>
              <w:rFonts w:ascii="Cambria Math" w:hAnsi="Cambria Math"/>
              <w:sz w:val="26"/>
            </w:rPr>
            <m:t>]</m:t>
          </m:r>
          <m:r>
            <m:rPr>
              <m:sty m:val="p"/>
            </m:rPr>
            <w:rPr>
              <w:rFonts w:ascii="Cambria Math" w:hAnsi="Cambria Math"/>
            </w:rPr>
            <m:t>=1-</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w:rPr>
                          <w:rFonts w:ascii="Cambria Math" w:hAnsi="Cambria Math"/>
                        </w:rPr>
                        <m:t>n</m:t>
                      </m:r>
                    </m:den>
                  </m:f>
                </m:e>
              </m:d>
            </m:e>
            <m:sup>
              <m:r>
                <w:rPr>
                  <w:rFonts w:ascii="Cambria Math" w:hAnsi="Cambria Math"/>
                </w:rPr>
                <m:t>n</m:t>
              </m:r>
            </m:sup>
          </m:sSup>
          <m:r>
            <m:rPr>
              <m:sty m:val="p"/>
            </m:rPr>
            <w:rPr>
              <w:rFonts w:ascii="Cambria Math" w:hAnsi="Cambria Math"/>
            </w:rPr>
            <m:t>.</m:t>
          </m:r>
        </m:oMath>
      </m:oMathPara>
    </w:p>
    <w:p w14:paraId="50991A58" w14:textId="05FE14D0" w:rsidR="00270D0B" w:rsidRDefault="00E30FF3" w:rsidP="00BB1727">
      <w:pPr>
        <w:spacing w:after="280"/>
        <w:jc w:val="both"/>
      </w:pPr>
      <w:r>
        <w:tab/>
      </w:r>
      <w:r w:rsidR="00BB1727">
        <w:t xml:space="preserve">Quand </w:t>
      </w:r>
      <m:oMath>
        <m:r>
          <w:rPr>
            <w:rFonts w:ascii="Cambria Math" w:hAnsi="Cambria Math"/>
          </w:rPr>
          <m:t>n</m:t>
        </m:r>
      </m:oMath>
      <w:r w:rsidR="00BB1727">
        <w:rPr>
          <w:rFonts w:eastAsia="Times New Roman" w:hAnsi="Times New Roman" w:cs="Times New Roman"/>
        </w:rPr>
        <w:t xml:space="preserve"> est grand, cette probabilité vaut donc environ </w:t>
      </w:r>
      <m:oMath>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-1</m:t>
            </m:r>
          </m:sup>
        </m:sSup>
        <m:r>
          <m:rPr>
            <m:sty m:val="p"/>
          </m:rPr>
          <w:rPr>
            <w:rFonts w:ascii="Cambria Math" w:hAnsi="Cambria Math"/>
          </w:rPr>
          <m:t>≈0,632</m:t>
        </m:r>
      </m:oMath>
      <w:r w:rsidR="00BB1727">
        <w:t xml:space="preserve">, car la limite en </w:t>
      </w:r>
      <m:oMath>
        <m:r>
          <m:rPr>
            <m:sty m:val="p"/>
          </m:rPr>
          <w:rPr>
            <w:rFonts w:ascii="Cambria Math" w:hAnsi="Cambria Math"/>
          </w:rPr>
          <m:t>+∞</m:t>
        </m:r>
      </m:oMath>
      <w:r w:rsidR="00BB1727">
        <w:t xml:space="preserve"> de </w:t>
      </w:r>
      <m:oMath>
        <m:sSup>
          <m:sSupPr>
            <m:ctrlPr>
              <w:rPr>
                <w:rFonts w:ascii="Cambria Math" w:hAnsi="Cambria Math"/>
              </w:rPr>
            </m:ctrlPr>
          </m:sSupPr>
          <m:e>
            <m:d>
              <m:dPr>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x</m:t>
                    </m:r>
                  </m:num>
                  <m:den>
                    <m:r>
                      <w:rPr>
                        <w:rFonts w:ascii="Cambria Math" w:hAnsi="Cambria Math"/>
                      </w:rPr>
                      <m:t>n</m:t>
                    </m:r>
                  </m:den>
                </m:f>
              </m:e>
            </m:d>
          </m:e>
          <m:sup>
            <m:r>
              <w:rPr>
                <w:rFonts w:ascii="Cambria Math" w:hAnsi="Cambria Math"/>
              </w:rPr>
              <m:t>n</m:t>
            </m:r>
          </m:sup>
        </m:sSup>
      </m:oMath>
      <w:r w:rsidR="00BB1727">
        <w:t xml:space="preserve"> vaut </w:t>
      </w:r>
      <m:oMath>
        <m:sSup>
          <m:sSupPr>
            <m:ctrlPr>
              <w:rPr>
                <w:rFonts w:ascii="Cambria Math" w:hAnsi="Cambria Math"/>
              </w:rPr>
            </m:ctrlPr>
          </m:sSupPr>
          <m:e>
            <m:r>
              <w:rPr>
                <w:rFonts w:ascii="Cambria Math" w:hAnsi="Cambria Math"/>
              </w:rPr>
              <m:t>e</m:t>
            </m:r>
          </m:e>
          <m:sup>
            <m:r>
              <w:rPr>
                <w:rFonts w:ascii="Cambria Math" w:hAnsi="Cambria Math"/>
              </w:rPr>
              <m:t>x</m:t>
            </m:r>
          </m:sup>
        </m:sSup>
      </m:oMath>
      <w:r w:rsidR="00BB1727">
        <w:t>.</w:t>
      </w:r>
    </w:p>
    <w:p w14:paraId="1C947764" w14:textId="7F711ADE" w:rsidR="00270D0B" w:rsidRDefault="00E30FF3" w:rsidP="00BB1727">
      <w:pPr>
        <w:spacing w:after="280"/>
        <w:jc w:val="both"/>
      </w:pPr>
      <w:r>
        <w:tab/>
      </w:r>
      <w:r w:rsidR="00BB1727">
        <w:t xml:space="preserve">Ainsi, </w:t>
      </w:r>
      <m:oMath>
        <m:sSub>
          <m:sSubPr>
            <m:ctrlPr>
              <w:rPr>
                <w:rFonts w:ascii="Cambria Math" w:hAnsi="Cambria Math"/>
              </w:rPr>
            </m:ctrlPr>
          </m:sSubPr>
          <m:e>
            <m:r>
              <m:rPr>
                <m:scr m:val="script"/>
              </m:rPr>
              <w:rPr>
                <w:rFonts w:ascii="Cambria Math" w:hAnsi="Cambria Math"/>
              </w:rPr>
              <m:t>D</m:t>
            </m:r>
          </m:e>
          <m:sub>
            <m:r>
              <w:rPr>
                <w:rFonts w:ascii="Cambria Math" w:hAnsi="Cambria Math"/>
              </w:rPr>
              <m:t>b</m:t>
            </m:r>
          </m:sub>
        </m:sSub>
      </m:oMath>
      <w:r w:rsidR="00BB1727">
        <w:t xml:space="preserve"> contient environ deux tiers des observations de </w:t>
      </w:r>
      <m:oMath>
        <m:r>
          <m:rPr>
            <m:scr m:val="script"/>
          </m:rPr>
          <w:rPr>
            <w:rFonts w:ascii="Cambria Math" w:hAnsi="Cambria Math"/>
          </w:rPr>
          <m:t>D</m:t>
        </m:r>
      </m:oMath>
      <w:r w:rsidR="00BB1727">
        <w:t>.</w:t>
      </w:r>
    </w:p>
    <w:p w14:paraId="06B4ED81" w14:textId="796290A9" w:rsidR="00270D0B" w:rsidRPr="00E30FF3" w:rsidRDefault="00E30FF3" w:rsidP="00E30FF3">
      <w:pPr>
        <w:pStyle w:val="2"/>
        <w:spacing w:line="360" w:lineRule="auto"/>
        <w:rPr>
          <w:rFonts w:ascii="Times New Roman" w:hAnsi="Times New Roman" w:cs="Times New Roman"/>
          <w:b/>
          <w:bCs/>
          <w:color w:val="auto"/>
          <w:sz w:val="28"/>
          <w:szCs w:val="28"/>
        </w:rPr>
      </w:pPr>
      <w:bookmarkStart w:id="9" w:name="bm_3_2_optimisation_d_hyperparamètres"/>
      <w:r w:rsidRPr="00E30FF3">
        <w:rPr>
          <w:rFonts w:ascii="Times New Roman" w:eastAsia="Times New Roman" w:hAnsi="Times New Roman" w:cs="Times New Roman"/>
          <w:b/>
          <w:bCs/>
          <w:color w:val="auto"/>
          <w:sz w:val="28"/>
          <w:szCs w:val="28"/>
        </w:rPr>
        <w:lastRenderedPageBreak/>
        <w:t>3.2 OPTIMISATION D'HYPERPARAMETRES</w:t>
      </w:r>
      <w:bookmarkEnd w:id="9"/>
    </w:p>
    <w:p w14:paraId="66082DDA" w14:textId="46210B13" w:rsidR="00270D0B" w:rsidRDefault="00E30FF3" w:rsidP="00BB1727">
      <w:pPr>
        <w:spacing w:after="280"/>
        <w:jc w:val="both"/>
      </w:pPr>
      <w:r>
        <w:rPr>
          <w:rFonts w:eastAsia="Times New Roman" w:hAnsi="Times New Roman" w:cs="Times New Roman"/>
        </w:rPr>
        <w:tab/>
      </w:r>
      <w:r w:rsidR="00BB1727">
        <w:rPr>
          <w:rFonts w:eastAsia="Times New Roman" w:hAnsi="Times New Roman" w:cs="Times New Roman"/>
        </w:rPr>
        <w:t xml:space="preserve">Dans la section précédente, nous avons parlé de choisir entre </w:t>
      </w:r>
      <m:oMath>
        <m:r>
          <w:rPr>
            <w:rFonts w:ascii="Cambria Math" w:hAnsi="Cambria Math"/>
          </w:rPr>
          <m:t>K</m:t>
        </m:r>
      </m:oMath>
      <w:r w:rsidR="00BB1727">
        <w:rPr>
          <w:rFonts w:eastAsia="Times New Roman" w:hAnsi="Times New Roman" w:cs="Times New Roman"/>
        </w:rPr>
        <w:t xml:space="preserve"> modèles de manière très générale. En pratique, ces </w:t>
      </w:r>
      <m:oMath>
        <m:r>
          <w:rPr>
            <w:rFonts w:ascii="Cambria Math" w:hAnsi="Cambria Math"/>
          </w:rPr>
          <m:t>K</m:t>
        </m:r>
      </m:oMath>
      <w:r w:rsidR="00BB1727">
        <w:rPr>
          <w:rFonts w:eastAsia="Times New Roman" w:hAnsi="Times New Roman" w:cs="Times New Roman"/>
        </w:rPr>
        <w:t xml:space="preserve"> modèles sont souvent obtenus à partir d'un seul et même algorithme d'apprentissage, dont on fait varier un </w:t>
      </w:r>
      <w:r w:rsidR="00BB1727">
        <w:rPr>
          <w:b/>
        </w:rPr>
        <w:t>hyperparam</w:t>
      </w:r>
      <w:r w:rsidR="00BB1727">
        <w:rPr>
          <w:b/>
        </w:rPr>
        <w:t>è</w:t>
      </w:r>
      <w:r w:rsidR="00BB1727">
        <w:rPr>
          <w:b/>
        </w:rPr>
        <w:t>tre</w:t>
      </w:r>
      <w:r w:rsidR="00BB1727">
        <w:t>.</w:t>
      </w:r>
    </w:p>
    <w:p w14:paraId="62D3E2AE" w14:textId="7CB2A0BB" w:rsidR="00270D0B" w:rsidRDefault="00E30FF3" w:rsidP="00607616">
      <w:pPr>
        <w:spacing w:after="0"/>
        <w:jc w:val="both"/>
      </w:pPr>
      <w:r>
        <w:rPr>
          <w:b/>
        </w:rPr>
        <w:tab/>
      </w:r>
      <w:r w:rsidR="00BB1727">
        <w:rPr>
          <w:b/>
        </w:rPr>
        <w:t>D</w:t>
      </w:r>
      <w:r w:rsidR="00BB1727">
        <w:rPr>
          <w:b/>
        </w:rPr>
        <w:t>é</w:t>
      </w:r>
      <w:r w:rsidR="00BB1727">
        <w:rPr>
          <w:b/>
        </w:rPr>
        <w:t>finition 3.6 (Hyperparam</w:t>
      </w:r>
      <w:r w:rsidR="00BB1727">
        <w:rPr>
          <w:b/>
        </w:rPr>
        <w:t>è</w:t>
      </w:r>
      <w:r w:rsidR="00BB1727">
        <w:rPr>
          <w:b/>
        </w:rPr>
        <w:t>tre)</w:t>
      </w:r>
      <w:r w:rsidR="00607616">
        <w:t xml:space="preserve"> </w:t>
      </w:r>
      <w:r w:rsidR="00BB1727">
        <w:t xml:space="preserve">On appelle </w:t>
      </w:r>
      <w:r w:rsidR="00BB1727">
        <w:rPr>
          <w:b/>
        </w:rPr>
        <w:t>hyperparam</w:t>
      </w:r>
      <w:r w:rsidR="00BB1727">
        <w:rPr>
          <w:b/>
        </w:rPr>
        <w:t>è</w:t>
      </w:r>
      <w:r w:rsidR="00BB1727">
        <w:rPr>
          <w:b/>
        </w:rPr>
        <w:t>tre</w:t>
      </w:r>
      <w:r w:rsidR="00BB1727">
        <w:rPr>
          <w:rFonts w:eastAsia="Times New Roman" w:hAnsi="Times New Roman" w:cs="Times New Roman"/>
        </w:rPr>
        <w:t xml:space="preserve"> un paramètre de l'algorithme d'apprentissage (et non pas du modèle) : là où les paramètres d'un modèle sont déterminés par l'algorithme d'apprentissage, un hyperparamètre n'entre pas dans le modèle (bien qu'il ait une influence sur les valeurs des paramètres de ce modèle). Il peut par exemple s'agir du nombre de voisins dans l'algorithme des plus proches voisins (voir chapitre 8.2.1), du coefficient de régularisation d'une régression linéaire régularisée (voir chapitre 6), ou du nombre de couches cachées dans un réseau de neurones (voir chapitre 7).</w:t>
      </w:r>
    </w:p>
    <w:p w14:paraId="75AC08EC" w14:textId="555B703C" w:rsidR="00270D0B" w:rsidRDefault="00784824" w:rsidP="00607616">
      <w:pPr>
        <w:spacing w:after="280"/>
        <w:jc w:val="both"/>
      </w:pPr>
      <w:r>
        <w:rPr>
          <w:rFonts w:eastAsia="Times New Roman" w:hAnsi="Times New Roman" w:cs="Times New Roman"/>
        </w:rPr>
        <w:tab/>
      </w:r>
      <w:r w:rsidR="00BB1727">
        <w:rPr>
          <w:rFonts w:eastAsia="Times New Roman" w:hAnsi="Times New Roman" w:cs="Times New Roman"/>
        </w:rPr>
        <w:t xml:space="preserve">Pour déterminer la valeur optimale d'un ou plusieurs hyperparamètres, on procède souvent par validation croisée comme détaillé ci-dessus. Cela nécessite de déterminer une liste de </w:t>
      </w:r>
      <m:oMath>
        <m:r>
          <w:rPr>
            <w:rFonts w:ascii="Cambria Math" w:hAnsi="Cambria Math"/>
          </w:rPr>
          <m:t>K</m:t>
        </m:r>
      </m:oMath>
      <w:r w:rsidR="00BB1727">
        <w:rPr>
          <w:rFonts w:eastAsia="Times New Roman" w:hAnsi="Times New Roman" w:cs="Times New Roman"/>
        </w:rPr>
        <w:t xml:space="preserve"> valeurs d'hyperparamètres à évaluer. Pour cela, plusieurs stratégies sont possibles.</w:t>
      </w:r>
    </w:p>
    <w:p w14:paraId="63DF2C29" w14:textId="77777777" w:rsidR="00270D0B" w:rsidRPr="00784824" w:rsidRDefault="00BB1727" w:rsidP="00784824">
      <w:pPr>
        <w:pStyle w:val="3"/>
        <w:rPr>
          <w:rFonts w:ascii="Times New Roman" w:hAnsi="Times New Roman" w:cs="Times New Roman"/>
          <w:b/>
          <w:bCs/>
          <w:sz w:val="28"/>
          <w:szCs w:val="28"/>
        </w:rPr>
      </w:pPr>
      <w:bookmarkStart w:id="10" w:name="bm_3_2_1_recherche_en_grille"/>
      <w:r w:rsidRPr="00784824">
        <w:rPr>
          <w:rFonts w:ascii="Times New Roman" w:hAnsi="Times New Roman" w:cs="Times New Roman"/>
          <w:b/>
          <w:bCs/>
          <w:color w:val="auto"/>
          <w:sz w:val="28"/>
          <w:szCs w:val="28"/>
        </w:rPr>
        <w:t>3.2.1 Recherche en grille</w:t>
      </w:r>
      <w:bookmarkEnd w:id="10"/>
    </w:p>
    <w:p w14:paraId="03AE066D" w14:textId="5F269C5A" w:rsidR="00270D0B" w:rsidRDefault="00784824" w:rsidP="00BB1727">
      <w:pPr>
        <w:spacing w:after="280"/>
        <w:jc w:val="both"/>
      </w:pPr>
      <w:r>
        <w:rPr>
          <w:b/>
        </w:rPr>
        <w:tab/>
      </w:r>
      <w:r w:rsidR="00BB1727">
        <w:rPr>
          <w:b/>
        </w:rPr>
        <w:t>D</w:t>
      </w:r>
      <w:r w:rsidR="00BB1727">
        <w:rPr>
          <w:b/>
        </w:rPr>
        <w:t>é</w:t>
      </w:r>
      <w:r w:rsidR="00BB1727">
        <w:rPr>
          <w:b/>
        </w:rPr>
        <w:t>finition 3.7 (Recherche en grille)</w:t>
      </w:r>
      <w:r w:rsidR="00607616">
        <w:t xml:space="preserve"> </w:t>
      </w:r>
      <w:r w:rsidR="00BB1727">
        <w:t xml:space="preserve">On appelle </w:t>
      </w:r>
      <w:r w:rsidR="00BB1727">
        <w:rPr>
          <w:b/>
        </w:rPr>
        <w:t>recherche en grille</w:t>
      </w:r>
      <w:r w:rsidR="00BB1727">
        <w:rPr>
          <w:rFonts w:eastAsia="Times New Roman" w:hAnsi="Times New Roman" w:cs="Times New Roman"/>
        </w:rPr>
        <w:t xml:space="preserve"> (</w:t>
      </w:r>
      <w:proofErr w:type="spellStart"/>
      <w:r w:rsidR="00BB1727">
        <w:rPr>
          <w:rFonts w:eastAsia="Times New Roman" w:hAnsi="Times New Roman" w:cs="Times New Roman"/>
        </w:rPr>
        <w:t>grid</w:t>
      </w:r>
      <w:proofErr w:type="spellEnd"/>
      <w:r w:rsidR="00BB1727">
        <w:rPr>
          <w:rFonts w:eastAsia="Times New Roman" w:hAnsi="Times New Roman" w:cs="Times New Roman"/>
        </w:rPr>
        <w:t xml:space="preserve"> </w:t>
      </w:r>
      <w:proofErr w:type="spellStart"/>
      <w:r w:rsidR="00BB1727">
        <w:rPr>
          <w:rFonts w:eastAsia="Times New Roman" w:hAnsi="Times New Roman" w:cs="Times New Roman"/>
        </w:rPr>
        <w:t>search</w:t>
      </w:r>
      <w:proofErr w:type="spellEnd"/>
      <w:r w:rsidR="00BB1727">
        <w:rPr>
          <w:rFonts w:eastAsia="Times New Roman" w:hAnsi="Times New Roman" w:cs="Times New Roman"/>
        </w:rPr>
        <w:t>) une stratégie d'optimisation d'hyperparamètres qui consiste à déterminer, pour chacun des hyperparamètres concernés, une liste de valeurs à tester, puis à évaluer de manière empirique l'erreur de généralisation de chacune des combinaisons de valeurs d'hyperparamètres possibles.</w:t>
      </w:r>
    </w:p>
    <w:p w14:paraId="46393BCB" w14:textId="67491A82" w:rsidR="00270D0B" w:rsidRDefault="00784824" w:rsidP="00BB1727">
      <w:pPr>
        <w:spacing w:after="280"/>
        <w:jc w:val="both"/>
      </w:pPr>
      <w:r>
        <w:rPr>
          <w:rFonts w:eastAsia="Times New Roman" w:hAnsi="Times New Roman" w:cs="Times New Roman"/>
        </w:rPr>
        <w:tab/>
      </w:r>
      <w:r w:rsidR="00BB1727">
        <w:rPr>
          <w:rFonts w:eastAsia="Times New Roman" w:hAnsi="Times New Roman" w:cs="Times New Roman"/>
        </w:rPr>
        <w:t xml:space="preserve">Dans le cas où on cherche à optimiser un seul hyperparamètre </w:t>
      </w:r>
      <m:oMath>
        <m:r>
          <w:rPr>
            <w:rFonts w:ascii="Cambria Math" w:hAnsi="Cambria Math"/>
          </w:rPr>
          <m:t>λ</m:t>
        </m:r>
      </m:oMath>
      <w:r w:rsidR="00BB1727">
        <w:rPr>
          <w:rFonts w:eastAsia="Times New Roman" w:hAnsi="Times New Roman" w:cs="Times New Roman"/>
        </w:rPr>
        <w:t xml:space="preserve">, la « grille » d'hyperparamètres est tout simplement la liste </w:t>
      </w:r>
      <m:oMath>
        <m:sSub>
          <m:sSubPr>
            <m:ctrlPr>
              <w:rPr>
                <w:rFonts w:ascii="Cambria Math" w:hAnsi="Cambria Math"/>
              </w:rPr>
            </m:ctrlPr>
          </m:sSubPr>
          <m:e>
            <m:r>
              <w:rPr>
                <w:rFonts w:ascii="Cambria Math" w:hAnsi="Cambria Math"/>
              </w:rPr>
              <m:t>λ</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K</m:t>
            </m:r>
          </m:sub>
        </m:sSub>
      </m:oMath>
      <w:r w:rsidR="00BB1727">
        <w:rPr>
          <w:rFonts w:eastAsia="Times New Roman" w:hAnsi="Times New Roman" w:cs="Times New Roman"/>
        </w:rPr>
        <w:t xml:space="preserve"> de valeurs que l'on s'est fixée pour </w:t>
      </w:r>
      <m:oMath>
        <m:r>
          <w:rPr>
            <w:rFonts w:ascii="Cambria Math" w:hAnsi="Cambria Math"/>
          </w:rPr>
          <m:t>λ</m:t>
        </m:r>
      </m:oMath>
      <w:r w:rsidR="00BB1727">
        <w:rPr>
          <w:rFonts w:eastAsia="Times New Roman" w:hAnsi="Times New Roman" w:cs="Times New Roman"/>
        </w:rPr>
        <w:t xml:space="preserve">. Il s'agit alors d'évaluer l'erreur de généralisation de </w:t>
      </w:r>
      <m:oMath>
        <m:r>
          <w:rPr>
            <w:rFonts w:ascii="Cambria Math" w:hAnsi="Cambria Math"/>
          </w:rPr>
          <m:t>K</m:t>
        </m:r>
      </m:oMath>
      <w:r w:rsidR="00BB1727">
        <w:rPr>
          <w:rFonts w:eastAsia="Times New Roman" w:hAnsi="Times New Roman" w:cs="Times New Roman"/>
        </w:rPr>
        <w:t xml:space="preserve"> modèles différents.</w:t>
      </w:r>
    </w:p>
    <w:p w14:paraId="1CB7BD6E" w14:textId="7A8AEA0E" w:rsidR="00270D0B" w:rsidRDefault="00784824" w:rsidP="00BB1727">
      <w:pPr>
        <w:spacing w:after="280"/>
        <w:jc w:val="both"/>
      </w:pPr>
      <w:r>
        <w:rPr>
          <w:rFonts w:eastAsia="Times New Roman" w:hAnsi="Times New Roman" w:cs="Times New Roman"/>
        </w:rPr>
        <w:tab/>
      </w:r>
      <w:r w:rsidR="00BB1727">
        <w:rPr>
          <w:rFonts w:eastAsia="Times New Roman" w:hAnsi="Times New Roman" w:cs="Times New Roman"/>
        </w:rPr>
        <w:t xml:space="preserve">Dans le cas où on souhaite optimiser deux hyperparamètres </w:t>
      </w:r>
      <m:oMath>
        <m:r>
          <w:rPr>
            <w:rFonts w:ascii="Cambria Math" w:hAnsi="Cambria Math"/>
          </w:rPr>
          <m:t>λ</m:t>
        </m:r>
      </m:oMath>
      <w:r w:rsidR="00BB1727">
        <w:t xml:space="preserve"> et </w:t>
      </w:r>
      <m:oMath>
        <m:r>
          <w:rPr>
            <w:rFonts w:ascii="Cambria Math" w:hAnsi="Cambria Math"/>
          </w:rPr>
          <m:t>ν</m:t>
        </m:r>
      </m:oMath>
      <w:r w:rsidR="00BB1727">
        <w:t xml:space="preserve">, on commence par fixer une liste </w:t>
      </w:r>
      <m:oMath>
        <m:sSub>
          <m:sSubPr>
            <m:ctrlPr>
              <w:rPr>
                <w:rFonts w:ascii="Cambria Math" w:hAnsi="Cambria Math"/>
              </w:rPr>
            </m:ctrlPr>
          </m:sSubPr>
          <m:e>
            <m:r>
              <w:rPr>
                <w:rFonts w:ascii="Cambria Math" w:hAnsi="Cambria Math"/>
              </w:rPr>
              <m:t>λ</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K</m:t>
            </m:r>
          </m:sub>
        </m:sSub>
      </m:oMath>
      <w:r w:rsidR="00BB1727">
        <w:rPr>
          <w:rFonts w:eastAsia="Times New Roman" w:hAnsi="Times New Roman" w:cs="Times New Roman"/>
        </w:rPr>
        <w:t xml:space="preserve"> de valeurs à tester pour </w:t>
      </w:r>
      <m:oMath>
        <m:r>
          <w:rPr>
            <w:rFonts w:ascii="Cambria Math" w:hAnsi="Cambria Math"/>
          </w:rPr>
          <m:t>λ</m:t>
        </m:r>
      </m:oMath>
      <w:r w:rsidR="00BB1727">
        <w:t xml:space="preserve">, puis une liste </w:t>
      </w:r>
      <m:oMath>
        <m:sSub>
          <m:sSubPr>
            <m:ctrlPr>
              <w:rPr>
                <w:rFonts w:ascii="Cambria Math" w:hAnsi="Cambria Math"/>
              </w:rPr>
            </m:ctrlPr>
          </m:sSubPr>
          <m:e>
            <m:r>
              <w:rPr>
                <w:rFonts w:ascii="Cambria Math" w:hAnsi="Cambria Math"/>
              </w:rPr>
              <m:t>ν</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ν</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L</m:t>
            </m:r>
          </m:sub>
        </m:sSub>
      </m:oMath>
      <w:r w:rsidR="00BB1727">
        <w:rPr>
          <w:rFonts w:eastAsia="Times New Roman" w:hAnsi="Times New Roman" w:cs="Times New Roman"/>
        </w:rPr>
        <w:t xml:space="preserve"> de valeurs à tester pour </w:t>
      </w:r>
      <m:oMath>
        <m:r>
          <w:rPr>
            <w:rFonts w:ascii="Cambria Math" w:hAnsi="Cambria Math"/>
          </w:rPr>
          <m:t>ν</m:t>
        </m:r>
      </m:oMath>
      <w:r w:rsidR="00BB1727">
        <w:t xml:space="preserve">. On obtient ainsi </w:t>
      </w:r>
      <m:oMath>
        <m:r>
          <w:rPr>
            <w:rFonts w:ascii="Cambria Math" w:hAnsi="Cambria Math"/>
          </w:rPr>
          <m:t>K</m:t>
        </m:r>
        <m:r>
          <m:rPr>
            <m:sty m:val="p"/>
          </m:rPr>
          <w:rPr>
            <w:rFonts w:ascii="Cambria Math" w:hAnsi="Cambria Math"/>
          </w:rPr>
          <m:t>×</m:t>
        </m:r>
        <m:r>
          <w:rPr>
            <w:rFonts w:ascii="Cambria Math" w:hAnsi="Cambria Math"/>
          </w:rPr>
          <m:t>L</m:t>
        </m:r>
      </m:oMath>
      <w:r w:rsidR="00BB1727">
        <w:t xml:space="preserve"> paires </w:t>
      </w:r>
      <m:oMath>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ν</m:t>
            </m:r>
          </m:e>
          <m:sub>
            <m:r>
              <m:rPr>
                <m:scr m:val="script"/>
              </m:rPr>
              <w:rPr>
                <w:rFonts w:ascii="Cambria Math" w:hAnsi="Cambria Math"/>
              </w:rPr>
              <m:t>l</m:t>
            </m:r>
          </m:sub>
        </m:sSub>
        <m:r>
          <m:rPr>
            <m:sty m:val="p"/>
          </m:rPr>
          <w:rPr>
            <w:rFonts w:ascii="Cambria Math" w:hAnsi="Cambria Math"/>
          </w:rPr>
          <m:t>)</m:t>
        </m:r>
      </m:oMath>
      <w:r w:rsidR="00BB1727">
        <w:rPr>
          <w:rFonts w:eastAsia="Times New Roman" w:hAnsi="Times New Roman" w:cs="Times New Roman"/>
        </w:rPr>
        <w:t xml:space="preserve"> d'hyperparamètres et donc de modèles à évaluer.</w:t>
      </w:r>
    </w:p>
    <w:p w14:paraId="4FEAE0E7" w14:textId="3E420C74" w:rsidR="00270D0B" w:rsidRPr="00607616" w:rsidRDefault="00BB1727" w:rsidP="00607616">
      <w:pPr>
        <w:spacing w:after="280"/>
        <w:jc w:val="both"/>
      </w:pPr>
      <w:r w:rsidRPr="00607616">
        <w:rPr>
          <w:b/>
        </w:rPr>
        <w:t>Attention</w:t>
      </w:r>
      <w:r w:rsidRPr="00607616">
        <w:br/>
      </w:r>
      <w:r w:rsidR="00784824">
        <w:rPr>
          <w:rFonts w:eastAsia="Times New Roman" w:hAnsi="Times New Roman" w:cs="Times New Roman"/>
        </w:rPr>
        <w:tab/>
      </w:r>
      <w:r w:rsidRPr="00607616">
        <w:rPr>
          <w:rFonts w:eastAsia="Times New Roman" w:hAnsi="Times New Roman" w:cs="Times New Roman"/>
        </w:rPr>
        <w:t xml:space="preserve">Le coût algorithmique d'une recherche d'hyperparamètres en grille peut augmenter rapidement : si on utilise une validation croisée à 10 </w:t>
      </w:r>
      <w:proofErr w:type="spellStart"/>
      <w:r w:rsidRPr="00607616">
        <w:rPr>
          <w:rFonts w:eastAsia="Times New Roman" w:hAnsi="Times New Roman" w:cs="Times New Roman"/>
        </w:rPr>
        <w:t>folds</w:t>
      </w:r>
      <w:proofErr w:type="spellEnd"/>
      <w:r w:rsidRPr="00607616">
        <w:rPr>
          <w:rFonts w:eastAsia="Times New Roman" w:hAnsi="Times New Roman" w:cs="Times New Roman"/>
        </w:rPr>
        <w:t xml:space="preserve"> pour </w:t>
      </w:r>
      <w:r w:rsidRPr="00607616">
        <w:rPr>
          <w:rFonts w:eastAsia="Times New Roman" w:hAnsi="Times New Roman" w:cs="Times New Roman"/>
        </w:rPr>
        <w:lastRenderedPageBreak/>
        <w:t xml:space="preserve">évaluer chacun des modèles appris par un algorithme pour lequel on considère 10 valeurs possibles pour chacun des deux hyperparamètres, on doit donc entraîner et évaluer </w:t>
      </w:r>
      <m:oMath>
        <m:r>
          <m:rPr>
            <m:sty m:val="p"/>
          </m:rPr>
          <w:rPr>
            <w:rFonts w:ascii="Cambria Math" w:hAnsi="Cambria Math"/>
          </w:rPr>
          <m:t>10×10×10=1 000</m:t>
        </m:r>
      </m:oMath>
      <w:r w:rsidRPr="00607616">
        <w:rPr>
          <w:rFonts w:eastAsia="Times New Roman" w:hAnsi="Times New Roman" w:cs="Times New Roman"/>
        </w:rPr>
        <w:t xml:space="preserve"> modèles.</w:t>
      </w:r>
    </w:p>
    <w:p w14:paraId="00C2E3C0" w14:textId="77777777" w:rsidR="00270D0B" w:rsidRPr="00784824" w:rsidRDefault="00BB1727" w:rsidP="00784824">
      <w:pPr>
        <w:pStyle w:val="2"/>
        <w:spacing w:line="360" w:lineRule="auto"/>
        <w:rPr>
          <w:rFonts w:ascii="Times New Roman" w:hAnsi="Times New Roman" w:cs="Times New Roman"/>
          <w:b/>
          <w:bCs/>
          <w:color w:val="auto"/>
          <w:sz w:val="28"/>
          <w:szCs w:val="28"/>
        </w:rPr>
      </w:pPr>
      <w:bookmarkStart w:id="11" w:name="bm_3_2_2_recherche_aléatoire"/>
      <w:r w:rsidRPr="00784824">
        <w:rPr>
          <w:rFonts w:ascii="Times New Roman" w:eastAsia="Times New Roman" w:hAnsi="Times New Roman" w:cs="Times New Roman"/>
          <w:b/>
          <w:bCs/>
          <w:color w:val="auto"/>
          <w:sz w:val="28"/>
          <w:szCs w:val="28"/>
        </w:rPr>
        <w:t>3.2.2 Recherche aléatoire</w:t>
      </w:r>
      <w:bookmarkEnd w:id="11"/>
    </w:p>
    <w:p w14:paraId="4FA7EA75" w14:textId="4767A58C" w:rsidR="00270D0B" w:rsidRDefault="00784824" w:rsidP="00BB1727">
      <w:pPr>
        <w:spacing w:after="280"/>
        <w:jc w:val="both"/>
        <w:rPr>
          <w:rFonts w:eastAsia="Times New Roman" w:hAnsi="Times New Roman" w:cs="Times New Roman"/>
        </w:rPr>
      </w:pPr>
      <w:r>
        <w:rPr>
          <w:rFonts w:eastAsia="Times New Roman" w:hAnsi="Times New Roman" w:cs="Times New Roman"/>
        </w:rPr>
        <w:tab/>
      </w:r>
      <w:r w:rsidR="00BB1727">
        <w:rPr>
          <w:rFonts w:eastAsia="Times New Roman" w:hAnsi="Times New Roman" w:cs="Times New Roman"/>
        </w:rPr>
        <w:t xml:space="preserve">La recherche en grille est de loin la méthode la plus utilisée pour l'optimisation des hyperparamètres d'algorithmes d'apprentissage utilisant un ou deux hyperparamètres. Cependant, elle se révèle inefficace dans les cas où le nombre d'hyperparamètres à déterminer est plus grand, et donc en particulier pour les réseaux de neurones (voir chapitre 7). En effet, elle est susceptible de tester de nombreuses combinaisons d'hyperparamètres sensiblement équivalentes les unes aux autres, tout en ignorant les zones les plus pertinentes de l'espace des hyperparamètres, et de gâcher ainsi des ressources qui pourraient être mieux employées. Cette idée, explorée en détail par </w:t>
      </w:r>
      <w:proofErr w:type="spellStart"/>
      <w:r w:rsidR="00BB1727">
        <w:rPr>
          <w:rFonts w:eastAsia="Times New Roman" w:hAnsi="Times New Roman" w:cs="Times New Roman"/>
        </w:rPr>
        <w:t>Bergstra</w:t>
      </w:r>
      <w:proofErr w:type="spellEnd"/>
      <w:r w:rsidR="00BB1727">
        <w:rPr>
          <w:rFonts w:eastAsia="Times New Roman" w:hAnsi="Times New Roman" w:cs="Times New Roman"/>
        </w:rPr>
        <w:t xml:space="preserve"> et Bengio (2012), est illustrée sur la figure 3.2.</w:t>
      </w:r>
    </w:p>
    <w:p w14:paraId="77DA5CB3" w14:textId="1F145189" w:rsidR="00607616" w:rsidRDefault="00607616" w:rsidP="00BB1727">
      <w:pPr>
        <w:spacing w:after="280"/>
        <w:jc w:val="both"/>
      </w:pPr>
      <w:r w:rsidRPr="00607616">
        <w:rPr>
          <w:noProof/>
        </w:rPr>
        <w:drawing>
          <wp:inline distT="0" distB="0" distL="0" distR="0" wp14:anchorId="2BD15274" wp14:editId="73ABC0E7">
            <wp:extent cx="5435600" cy="21082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 r="926" b="31049"/>
                    <a:stretch/>
                  </pic:blipFill>
                  <pic:spPr bwMode="auto">
                    <a:xfrm>
                      <a:off x="0" y="0"/>
                      <a:ext cx="5435600" cy="2108200"/>
                    </a:xfrm>
                    <a:prstGeom prst="rect">
                      <a:avLst/>
                    </a:prstGeom>
                    <a:ln>
                      <a:noFill/>
                    </a:ln>
                    <a:extLst>
                      <a:ext uri="{53640926-AAD7-44D8-BBD7-CCE9431645EC}">
                        <a14:shadowObscured xmlns:a14="http://schemas.microsoft.com/office/drawing/2010/main"/>
                      </a:ext>
                    </a:extLst>
                  </pic:spPr>
                </pic:pic>
              </a:graphicData>
            </a:graphic>
          </wp:inline>
        </w:drawing>
      </w:r>
    </w:p>
    <w:p w14:paraId="6988B2BC" w14:textId="25B228EE" w:rsidR="00EB2F37" w:rsidRDefault="00EB2F37" w:rsidP="00BB1727">
      <w:pPr>
        <w:spacing w:after="280"/>
        <w:jc w:val="both"/>
      </w:pPr>
      <w:r>
        <w:tab/>
      </w:r>
      <w:r w:rsidRPr="00EB2F37">
        <w:rPr>
          <w:b/>
          <w:bCs/>
          <w:i/>
          <w:iCs/>
        </w:rPr>
        <w:t>Figure 3.2</w:t>
      </w:r>
      <w:r w:rsidRPr="00EB2F37">
        <w:t xml:space="preserve"> - Recherche en grille (</w:t>
      </w:r>
      <w:r w:rsidRPr="00EB2F37">
        <w:t>à</w:t>
      </w:r>
      <w:r w:rsidRPr="00EB2F37">
        <w:t xml:space="preserve"> gauche) vs recherche al</w:t>
      </w:r>
      <w:r w:rsidRPr="00EB2F37">
        <w:t>é</w:t>
      </w:r>
      <w:r w:rsidRPr="00EB2F37">
        <w:t>atoire (</w:t>
      </w:r>
      <w:r w:rsidRPr="00EB2F37">
        <w:t>à</w:t>
      </w:r>
      <w:r w:rsidRPr="00EB2F37">
        <w:t xml:space="preserve"> droite), dans un cas o</w:t>
      </w:r>
      <w:r w:rsidRPr="00EB2F37">
        <w:t>ù</w:t>
      </w:r>
      <w:r w:rsidRPr="00EB2F37">
        <w:t xml:space="preserve"> l'hyperparam</w:t>
      </w:r>
      <w:r w:rsidRPr="00EB2F37">
        <w:t>è</w:t>
      </w:r>
      <w:r w:rsidRPr="00EB2F37">
        <w:t>tre v a une influence moindre sur la performance (pour ce jeu de donn</w:t>
      </w:r>
      <w:r w:rsidRPr="00EB2F37">
        <w:t>é</w:t>
      </w:r>
      <w:r w:rsidRPr="00EB2F37">
        <w:t>es) que l'hyperparam</w:t>
      </w:r>
      <w:r w:rsidRPr="00EB2F37">
        <w:t>è</w:t>
      </w:r>
      <w:r w:rsidRPr="00EB2F37">
        <w:t>tre X. Les points repr</w:t>
      </w:r>
      <w:r w:rsidRPr="00EB2F37">
        <w:t>é</w:t>
      </w:r>
      <w:r w:rsidRPr="00EB2F37">
        <w:t>sentent les combinaisons d'hyperparam</w:t>
      </w:r>
      <w:r w:rsidRPr="00EB2F37">
        <w:t>è</w:t>
      </w:r>
      <w:r w:rsidRPr="00EB2F37">
        <w:t>tres test</w:t>
      </w:r>
      <w:r w:rsidRPr="00EB2F37">
        <w:t>é</w:t>
      </w:r>
      <w:r w:rsidRPr="00EB2F37">
        <w:t>es : une grille de 4 par 4 r</w:t>
      </w:r>
      <w:r w:rsidRPr="00EB2F37">
        <w:t>é</w:t>
      </w:r>
      <w:r w:rsidRPr="00EB2F37">
        <w:t>guli</w:t>
      </w:r>
      <w:r w:rsidRPr="00EB2F37">
        <w:t>è</w:t>
      </w:r>
      <w:r w:rsidRPr="00EB2F37">
        <w:t>rement espac</w:t>
      </w:r>
      <w:r w:rsidRPr="00EB2F37">
        <w:t>é</w:t>
      </w:r>
      <w:r w:rsidRPr="00EB2F37">
        <w:t>s pour la recherche en grille, et 16 points tir</w:t>
      </w:r>
      <w:r w:rsidRPr="00EB2F37">
        <w:t>é</w:t>
      </w:r>
      <w:r w:rsidRPr="00EB2F37">
        <w:t>s uniform</w:t>
      </w:r>
      <w:r w:rsidRPr="00EB2F37">
        <w:t>é</w:t>
      </w:r>
      <w:r w:rsidRPr="00EB2F37">
        <w:t>ment sur les m</w:t>
      </w:r>
      <w:r w:rsidRPr="00EB2F37">
        <w:t>ê</w:t>
      </w:r>
      <w:r w:rsidRPr="00EB2F37">
        <w:t xml:space="preserve">mes segments pour la recherche </w:t>
      </w:r>
      <w:proofErr w:type="gramStart"/>
      <w:r w:rsidRPr="00EB2F37">
        <w:t>al</w:t>
      </w:r>
      <w:r w:rsidRPr="00EB2F37">
        <w:t>é</w:t>
      </w:r>
      <w:r w:rsidRPr="00EB2F37">
        <w:t>atoire..</w:t>
      </w:r>
      <w:proofErr w:type="gramEnd"/>
      <w:r w:rsidRPr="00EB2F37">
        <w:t xml:space="preserve"> Les courbes de niveau repr</w:t>
      </w:r>
      <w:r w:rsidRPr="00EB2F37">
        <w:t>é</w:t>
      </w:r>
      <w:r w:rsidRPr="00EB2F37">
        <w:t>sentent la performance du mod</w:t>
      </w:r>
      <w:r w:rsidRPr="00EB2F37">
        <w:t>è</w:t>
      </w:r>
      <w:r w:rsidRPr="00EB2F37">
        <w:t xml:space="preserve">le (une meilleure performance correspond </w:t>
      </w:r>
      <w:r w:rsidRPr="00EB2F37">
        <w:t>à</w:t>
      </w:r>
      <w:r w:rsidRPr="00EB2F37">
        <w:t xml:space="preserve"> une couleur plus fonc</w:t>
      </w:r>
      <w:r w:rsidRPr="00EB2F37">
        <w:t>é</w:t>
      </w:r>
      <w:r w:rsidRPr="00EB2F37">
        <w:t>e).</w:t>
      </w:r>
    </w:p>
    <w:p w14:paraId="0F232E4D" w14:textId="3ED8EA22" w:rsidR="00270D0B" w:rsidRDefault="00EB2F37" w:rsidP="00BB1727">
      <w:pPr>
        <w:spacing w:after="280"/>
        <w:jc w:val="both"/>
      </w:pPr>
      <w:r>
        <w:rPr>
          <w:b/>
        </w:rPr>
        <w:tab/>
      </w:r>
      <w:r w:rsidR="00BB1727">
        <w:rPr>
          <w:b/>
        </w:rPr>
        <w:t>D</w:t>
      </w:r>
      <w:r w:rsidR="00BB1727">
        <w:rPr>
          <w:b/>
        </w:rPr>
        <w:t>é</w:t>
      </w:r>
      <w:r w:rsidR="00BB1727">
        <w:rPr>
          <w:b/>
        </w:rPr>
        <w:t>finition 3.8 (Recherche al</w:t>
      </w:r>
      <w:r w:rsidR="00BB1727">
        <w:rPr>
          <w:b/>
        </w:rPr>
        <w:t>é</w:t>
      </w:r>
      <w:r w:rsidR="00BB1727">
        <w:rPr>
          <w:b/>
        </w:rPr>
        <w:t>atoire)</w:t>
      </w:r>
      <w:r w:rsidR="00607616">
        <w:t xml:space="preserve"> </w:t>
      </w:r>
      <w:r w:rsidR="00BB1727">
        <w:t xml:space="preserve">On appelle </w:t>
      </w:r>
      <w:r w:rsidR="00BB1727">
        <w:rPr>
          <w:b/>
        </w:rPr>
        <w:t>recherche al</w:t>
      </w:r>
      <w:r w:rsidR="00BB1727">
        <w:rPr>
          <w:b/>
        </w:rPr>
        <w:t>é</w:t>
      </w:r>
      <w:r w:rsidR="00BB1727">
        <w:rPr>
          <w:b/>
        </w:rPr>
        <w:t>atoire</w:t>
      </w:r>
      <w:r w:rsidR="00BB1727">
        <w:rPr>
          <w:rFonts w:eastAsia="Times New Roman" w:hAnsi="Times New Roman" w:cs="Times New Roman"/>
        </w:rPr>
        <w:t xml:space="preserve"> (</w:t>
      </w:r>
      <w:proofErr w:type="spellStart"/>
      <w:r w:rsidR="00BB1727">
        <w:rPr>
          <w:rFonts w:eastAsia="Times New Roman" w:hAnsi="Times New Roman" w:cs="Times New Roman"/>
        </w:rPr>
        <w:t>random</w:t>
      </w:r>
      <w:proofErr w:type="spellEnd"/>
      <w:r w:rsidR="00BB1727">
        <w:rPr>
          <w:rFonts w:eastAsia="Times New Roman" w:hAnsi="Times New Roman" w:cs="Times New Roman"/>
        </w:rPr>
        <w:t xml:space="preserve"> </w:t>
      </w:r>
      <w:proofErr w:type="spellStart"/>
      <w:r w:rsidR="00BB1727">
        <w:rPr>
          <w:rFonts w:eastAsia="Times New Roman" w:hAnsi="Times New Roman" w:cs="Times New Roman"/>
        </w:rPr>
        <w:t>search</w:t>
      </w:r>
      <w:proofErr w:type="spellEnd"/>
      <w:r w:rsidR="00BB1727">
        <w:rPr>
          <w:rFonts w:eastAsia="Times New Roman" w:hAnsi="Times New Roman" w:cs="Times New Roman"/>
        </w:rPr>
        <w:t xml:space="preserve">) une stratégie d'optimisation d'hyperparamètres qui consiste à déterminer, pour chacun des hyperparamètres concernés, des fourchettes de </w:t>
      </w:r>
      <w:r w:rsidR="00BB1727">
        <w:rPr>
          <w:rFonts w:eastAsia="Times New Roman" w:hAnsi="Times New Roman" w:cs="Times New Roman"/>
        </w:rPr>
        <w:lastRenderedPageBreak/>
        <w:t xml:space="preserve">valeurs à tester, puis à évaluer de manière empirique l'erreur de généralisation de </w:t>
      </w:r>
      <m:oMath>
        <m:r>
          <w:rPr>
            <w:rFonts w:ascii="Cambria Math" w:hAnsi="Cambria Math"/>
          </w:rPr>
          <m:t>K</m:t>
        </m:r>
      </m:oMath>
      <w:r w:rsidR="00BB1727">
        <w:rPr>
          <w:rFonts w:eastAsia="Times New Roman" w:hAnsi="Times New Roman" w:cs="Times New Roman"/>
        </w:rPr>
        <w:t xml:space="preserve"> combinaisons de valeurs d'hyperparamètres tirées uniformément dans ces fourchettes.</w:t>
      </w:r>
    </w:p>
    <w:p w14:paraId="53B3E968" w14:textId="229AF29F"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Un autre avantage de la recherche aléatoire est que la stratégie peut facilement être adaptée à des variations dans les ressources : si l'on doit interrompre ses calculs prématurément, l'expérience menée consiste quand même en une recherche aléatoire ; à l'inverse, si plus de ressources sont disponibles, on peut aisément ajouter des points de recherche sans avoir à ajuster une grille.</w:t>
      </w:r>
    </w:p>
    <w:p w14:paraId="380E25C8" w14:textId="2C0E90CC" w:rsidR="00270D0B" w:rsidRPr="00EB2F37" w:rsidRDefault="00EB2F37" w:rsidP="00EB2F37">
      <w:pPr>
        <w:pStyle w:val="2"/>
        <w:spacing w:line="360" w:lineRule="auto"/>
        <w:rPr>
          <w:rFonts w:ascii="Times New Roman" w:hAnsi="Times New Roman" w:cs="Times New Roman"/>
          <w:b/>
          <w:bCs/>
          <w:color w:val="auto"/>
          <w:sz w:val="28"/>
          <w:szCs w:val="28"/>
        </w:rPr>
      </w:pPr>
      <w:bookmarkStart w:id="12" w:name="bm_3_3_critères_de_performance"/>
      <w:r w:rsidRPr="00EB2F37">
        <w:rPr>
          <w:rFonts w:ascii="Times New Roman" w:eastAsia="Times New Roman" w:hAnsi="Times New Roman" w:cs="Times New Roman"/>
          <w:b/>
          <w:bCs/>
          <w:color w:val="auto"/>
          <w:sz w:val="28"/>
          <w:szCs w:val="28"/>
        </w:rPr>
        <w:t>3.3 CRITERES DE PERFORMANCE</w:t>
      </w:r>
      <w:bookmarkEnd w:id="12"/>
    </w:p>
    <w:p w14:paraId="11CC2BD2" w14:textId="0C76DFE1"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Il existe de nombreuses façons d'évaluer la performance prédictive d'un modèle d'apprentissage supervisé. Cette section présente les principaux critères utilisés.</w:t>
      </w:r>
    </w:p>
    <w:p w14:paraId="60B9D9AD" w14:textId="77777777" w:rsidR="00270D0B" w:rsidRPr="00EB2F37" w:rsidRDefault="00BB1727" w:rsidP="00EB2F37">
      <w:pPr>
        <w:pStyle w:val="3"/>
        <w:spacing w:line="360" w:lineRule="auto"/>
        <w:rPr>
          <w:rFonts w:ascii="Times New Roman" w:hAnsi="Times New Roman" w:cs="Times New Roman"/>
          <w:b/>
          <w:bCs/>
          <w:color w:val="auto"/>
          <w:sz w:val="28"/>
          <w:szCs w:val="28"/>
        </w:rPr>
      </w:pPr>
      <w:bookmarkStart w:id="13" w:name="bm_3_3_1_matrice_de_confusion_et_fb83ef"/>
      <w:r w:rsidRPr="00EB2F37">
        <w:rPr>
          <w:rFonts w:ascii="Times New Roman" w:eastAsia="Times New Roman" w:hAnsi="Times New Roman" w:cs="Times New Roman"/>
          <w:b/>
          <w:bCs/>
          <w:color w:val="auto"/>
          <w:sz w:val="28"/>
          <w:szCs w:val="28"/>
        </w:rPr>
        <w:t>3.3.1 Matrice de confusion et critères dérivés</w:t>
      </w:r>
      <w:bookmarkEnd w:id="13"/>
    </w:p>
    <w:p w14:paraId="54E09923" w14:textId="5514D94C"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Comme nous l'avons vu, le nombre d'erreurs de classification permet d'évaluer la qualité d'un modèle prédictif. Notons que l'on préférera généralement décrire le nombre d'erreurs comme une fraction du nombre d'exemples : un taux d'erreur de </w:t>
      </w:r>
      <m:oMath>
        <m:r>
          <m:rPr>
            <m:sty m:val="p"/>
          </m:rPr>
          <w:rPr>
            <w:rFonts w:ascii="Cambria Math" w:hAnsi="Cambria Math"/>
          </w:rPr>
          <m:t>1%</m:t>
        </m:r>
      </m:oMath>
      <w:r w:rsidR="00BB1727">
        <w:t xml:space="preserve"> est plus parlant qu'un nombre absolu d'erreurs.</w:t>
      </w:r>
    </w:p>
    <w:p w14:paraId="475FC502" w14:textId="1BE11B4B"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Mais toutes les erreurs ne se valent pas nécessairement. Prenons l'exemple d'un modèle qui prédise si oui ou non une radiographie présente une tumeur inquiétante : une fausse alerte, qui sera ensuite infirmée par des examens complémentaires, est moins problématique que de ne pas déceler la tumeur et de ne pas traiter la personne concernée. Les performances d'un modèle de classification, binaire comme multi-classe, peuvent être résumées dans une </w:t>
      </w:r>
      <w:r w:rsidR="00BB1727">
        <w:rPr>
          <w:b/>
        </w:rPr>
        <w:t>matrice de confusion</w:t>
      </w:r>
      <w:r w:rsidR="00BB1727">
        <w:t>.</w:t>
      </w:r>
    </w:p>
    <w:p w14:paraId="4015A9C7" w14:textId="25E0C831" w:rsidR="00270D0B" w:rsidRDefault="00EB2F37" w:rsidP="00BB1727">
      <w:pPr>
        <w:spacing w:after="280"/>
        <w:jc w:val="both"/>
      </w:pPr>
      <w:r>
        <w:rPr>
          <w:b/>
        </w:rPr>
        <w:tab/>
      </w:r>
      <w:r w:rsidR="00BB1727">
        <w:rPr>
          <w:b/>
        </w:rPr>
        <w:t>D</w:t>
      </w:r>
      <w:r w:rsidR="00BB1727">
        <w:rPr>
          <w:b/>
        </w:rPr>
        <w:t>é</w:t>
      </w:r>
      <w:r w:rsidR="00BB1727">
        <w:rPr>
          <w:b/>
        </w:rPr>
        <w:t>finition 3.9 (Matrice de confusion)</w:t>
      </w:r>
      <w:r w:rsidR="00607616">
        <w:t xml:space="preserve"> </w:t>
      </w:r>
      <w:r w:rsidR="00BB1727">
        <w:rPr>
          <w:rFonts w:eastAsia="Times New Roman" w:hAnsi="Times New Roman" w:cs="Times New Roman"/>
        </w:rPr>
        <w:t xml:space="preserve">Étant donné un problème de classification, on appelle </w:t>
      </w:r>
      <w:r w:rsidR="00BB1727">
        <w:rPr>
          <w:b/>
        </w:rPr>
        <w:t>matrice de confusion</w:t>
      </w:r>
      <w:r w:rsidR="00BB1727">
        <w:t xml:space="preserve"> une matrice </w:t>
      </w:r>
      <m:oMath>
        <m:r>
          <w:rPr>
            <w:rFonts w:ascii="Cambria Math" w:hAnsi="Cambria Math"/>
          </w:rPr>
          <m:t>M</m:t>
        </m:r>
      </m:oMath>
      <w:r w:rsidR="00BB1727">
        <w:rPr>
          <w:rFonts w:eastAsia="Times New Roman" w:hAnsi="Times New Roman" w:cs="Times New Roman"/>
        </w:rPr>
        <w:t xml:space="preserve"> contenant autant de lignes que de colonnes que de classes, et dont l'entrée </w:t>
      </w:r>
      <m:oMath>
        <m:sSub>
          <m:sSubPr>
            <m:ctrlPr>
              <w:rPr>
                <w:rFonts w:ascii="Cambria Math" w:hAnsi="Cambria Math"/>
              </w:rPr>
            </m:ctrlPr>
          </m:sSubPr>
          <m:e>
            <m:r>
              <w:rPr>
                <w:rFonts w:ascii="Cambria Math" w:hAnsi="Cambria Math"/>
              </w:rPr>
              <m:t>M</m:t>
            </m:r>
          </m:e>
          <m:sub>
            <m:r>
              <w:rPr>
                <w:rFonts w:ascii="Cambria Math" w:hAnsi="Cambria Math"/>
              </w:rPr>
              <m:t>ck</m:t>
            </m:r>
          </m:sub>
        </m:sSub>
      </m:oMath>
      <w:r w:rsidR="00BB1727">
        <w:t xml:space="preserve"> est le nombre d'exemples de la classe </w:t>
      </w:r>
      <m:oMath>
        <m:r>
          <w:rPr>
            <w:rFonts w:ascii="Cambria Math" w:hAnsi="Cambria Math"/>
          </w:rPr>
          <m:t>c</m:t>
        </m:r>
      </m:oMath>
      <w:r w:rsidR="00BB1727">
        <w:rPr>
          <w:rFonts w:eastAsia="Times New Roman" w:hAnsi="Times New Roman" w:cs="Times New Roman"/>
        </w:rPr>
        <w:t xml:space="preserve"> pour laquelle l'étiquette </w:t>
      </w:r>
      <m:oMath>
        <m:r>
          <w:rPr>
            <w:rFonts w:ascii="Cambria Math" w:hAnsi="Cambria Math"/>
          </w:rPr>
          <m:t>k</m:t>
        </m:r>
      </m:oMath>
      <w:r w:rsidR="00BB1727">
        <w:rPr>
          <w:rFonts w:eastAsia="Times New Roman" w:hAnsi="Times New Roman" w:cs="Times New Roman"/>
        </w:rPr>
        <w:t xml:space="preserve"> a été prédite.</w:t>
      </w:r>
    </w:p>
    <w:p w14:paraId="1A1F1F25" w14:textId="3B6CBF44" w:rsidR="00270D0B" w:rsidRDefault="00EB2F37" w:rsidP="00BB1727">
      <w:pPr>
        <w:spacing w:after="280"/>
        <w:jc w:val="both"/>
      </w:pPr>
      <w:r>
        <w:tab/>
      </w:r>
      <w:r w:rsidR="00BB1727">
        <w:t>Dans le cas de la classification binaire, la matrice de confusion prend la forme suivante :</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391"/>
        <w:gridCol w:w="2517"/>
        <w:gridCol w:w="2456"/>
      </w:tblGrid>
      <w:tr w:rsidR="00270D0B" w14:paraId="30534B76" w14:textId="77777777">
        <w:trPr>
          <w:cantSplit/>
          <w:tblCellSpacing w:w="0" w:type="dxa"/>
          <w:jc w:val="center"/>
        </w:trPr>
        <w:tc>
          <w:tcPr>
            <w:tcW w:w="0" w:type="auto"/>
            <w:tcBorders>
              <w:top w:val="single" w:sz="1" w:space="0" w:color="000000"/>
              <w:bottom w:val="single" w:sz="1" w:space="0" w:color="000000"/>
            </w:tcBorders>
          </w:tcPr>
          <w:p w14:paraId="36FA9ED7" w14:textId="77777777" w:rsidR="00270D0B" w:rsidRDefault="00270D0B" w:rsidP="00BB1727">
            <w:pPr>
              <w:jc w:val="both"/>
            </w:pPr>
          </w:p>
        </w:tc>
        <w:tc>
          <w:tcPr>
            <w:tcW w:w="0" w:type="auto"/>
            <w:tcBorders>
              <w:top w:val="single" w:sz="1" w:space="0" w:color="000000"/>
              <w:left w:val="single" w:sz="1" w:space="0" w:color="000000"/>
              <w:bottom w:val="single" w:sz="1" w:space="0" w:color="000000"/>
              <w:right w:val="single" w:sz="1" w:space="0" w:color="000000"/>
            </w:tcBorders>
          </w:tcPr>
          <w:p w14:paraId="47AC741F" w14:textId="77777777" w:rsidR="00270D0B" w:rsidRDefault="00BB1727" w:rsidP="00BB1727">
            <w:pPr>
              <w:jc w:val="both"/>
            </w:pPr>
            <w:r>
              <w:rPr>
                <w:rFonts w:eastAsia="Times New Roman" w:hAnsi="Times New Roman" w:cs="Times New Roman"/>
              </w:rPr>
              <w:t>Classe réelle (0)</w:t>
            </w:r>
          </w:p>
        </w:tc>
        <w:tc>
          <w:tcPr>
            <w:tcW w:w="0" w:type="auto"/>
            <w:tcBorders>
              <w:top w:val="single" w:sz="1" w:space="0" w:color="000000"/>
              <w:bottom w:val="single" w:sz="1" w:space="0" w:color="000000"/>
            </w:tcBorders>
          </w:tcPr>
          <w:p w14:paraId="3DEFB72F" w14:textId="77777777" w:rsidR="00270D0B" w:rsidRDefault="00BB1727" w:rsidP="00BB1727">
            <w:pPr>
              <w:jc w:val="both"/>
            </w:pPr>
            <w:r>
              <w:rPr>
                <w:rFonts w:eastAsia="Times New Roman" w:hAnsi="Times New Roman" w:cs="Times New Roman"/>
              </w:rPr>
              <w:t>Classe réelle (1)</w:t>
            </w:r>
          </w:p>
        </w:tc>
      </w:tr>
      <w:tr w:rsidR="00270D0B" w14:paraId="70B71700" w14:textId="77777777">
        <w:trPr>
          <w:cantSplit/>
          <w:tblCellSpacing w:w="0" w:type="dxa"/>
          <w:jc w:val="center"/>
        </w:trPr>
        <w:tc>
          <w:tcPr>
            <w:tcW w:w="0" w:type="auto"/>
            <w:tcBorders>
              <w:top w:val="single" w:sz="1" w:space="0" w:color="000000"/>
              <w:bottom w:val="single" w:sz="1" w:space="0" w:color="000000"/>
            </w:tcBorders>
          </w:tcPr>
          <w:p w14:paraId="0682A8FD" w14:textId="77777777" w:rsidR="00270D0B" w:rsidRDefault="00BB1727" w:rsidP="00BB1727">
            <w:pPr>
              <w:jc w:val="both"/>
            </w:pPr>
            <w:r>
              <w:rPr>
                <w:rFonts w:eastAsia="Times New Roman" w:hAnsi="Times New Roman" w:cs="Times New Roman"/>
              </w:rPr>
              <w:t>Prédit (0)</w:t>
            </w:r>
          </w:p>
        </w:tc>
        <w:tc>
          <w:tcPr>
            <w:tcW w:w="0" w:type="auto"/>
            <w:tcBorders>
              <w:top w:val="single" w:sz="1" w:space="0" w:color="000000"/>
              <w:left w:val="single" w:sz="1" w:space="0" w:color="000000"/>
              <w:bottom w:val="single" w:sz="1" w:space="0" w:color="000000"/>
              <w:right w:val="single" w:sz="1" w:space="0" w:color="000000"/>
            </w:tcBorders>
          </w:tcPr>
          <w:p w14:paraId="5D99B173" w14:textId="77777777" w:rsidR="00270D0B" w:rsidRDefault="00BB1727" w:rsidP="00BB1727">
            <w:pPr>
              <w:jc w:val="both"/>
            </w:pPr>
            <w:r>
              <w:rPr>
                <w:rFonts w:eastAsia="Times New Roman" w:hAnsi="Times New Roman" w:cs="Times New Roman"/>
              </w:rPr>
              <w:t>Vrais négatifs (TN)</w:t>
            </w:r>
          </w:p>
        </w:tc>
        <w:tc>
          <w:tcPr>
            <w:tcW w:w="0" w:type="auto"/>
            <w:tcBorders>
              <w:top w:val="single" w:sz="1" w:space="0" w:color="000000"/>
              <w:bottom w:val="single" w:sz="1" w:space="0" w:color="000000"/>
            </w:tcBorders>
          </w:tcPr>
          <w:p w14:paraId="6C3963D0" w14:textId="77777777" w:rsidR="00270D0B" w:rsidRDefault="00BB1727" w:rsidP="00BB1727">
            <w:pPr>
              <w:jc w:val="both"/>
            </w:pPr>
            <w:r>
              <w:rPr>
                <w:rFonts w:eastAsia="Times New Roman" w:hAnsi="Times New Roman" w:cs="Times New Roman"/>
              </w:rPr>
              <w:t>Faux négatifs (FN)</w:t>
            </w:r>
          </w:p>
        </w:tc>
      </w:tr>
      <w:tr w:rsidR="00270D0B" w14:paraId="538F8214" w14:textId="77777777">
        <w:trPr>
          <w:cantSplit/>
          <w:tblCellSpacing w:w="0" w:type="dxa"/>
          <w:jc w:val="center"/>
        </w:trPr>
        <w:tc>
          <w:tcPr>
            <w:tcW w:w="0" w:type="auto"/>
            <w:tcBorders>
              <w:top w:val="single" w:sz="1" w:space="0" w:color="000000"/>
              <w:bottom w:val="single" w:sz="1" w:space="0" w:color="000000"/>
            </w:tcBorders>
          </w:tcPr>
          <w:p w14:paraId="3AFA3F54" w14:textId="77777777" w:rsidR="00270D0B" w:rsidRDefault="00BB1727" w:rsidP="00BB1727">
            <w:pPr>
              <w:jc w:val="both"/>
            </w:pPr>
            <w:r>
              <w:rPr>
                <w:rFonts w:eastAsia="Times New Roman" w:hAnsi="Times New Roman" w:cs="Times New Roman"/>
              </w:rPr>
              <w:t>Prédit (1)</w:t>
            </w:r>
          </w:p>
        </w:tc>
        <w:tc>
          <w:tcPr>
            <w:tcW w:w="0" w:type="auto"/>
            <w:tcBorders>
              <w:top w:val="single" w:sz="1" w:space="0" w:color="000000"/>
              <w:left w:val="single" w:sz="1" w:space="0" w:color="000000"/>
              <w:bottom w:val="single" w:sz="1" w:space="0" w:color="000000"/>
              <w:right w:val="single" w:sz="1" w:space="0" w:color="000000"/>
            </w:tcBorders>
          </w:tcPr>
          <w:p w14:paraId="2D5C5BC0" w14:textId="77777777" w:rsidR="00270D0B" w:rsidRDefault="00BB1727" w:rsidP="00BB1727">
            <w:pPr>
              <w:jc w:val="both"/>
            </w:pPr>
            <w:r>
              <w:t>Faux positifs (FP)</w:t>
            </w:r>
          </w:p>
        </w:tc>
        <w:tc>
          <w:tcPr>
            <w:tcW w:w="0" w:type="auto"/>
            <w:tcBorders>
              <w:top w:val="single" w:sz="1" w:space="0" w:color="000000"/>
              <w:bottom w:val="single" w:sz="1" w:space="0" w:color="000000"/>
            </w:tcBorders>
          </w:tcPr>
          <w:p w14:paraId="4B388D3F" w14:textId="77777777" w:rsidR="00270D0B" w:rsidRDefault="00BB1727" w:rsidP="00BB1727">
            <w:pPr>
              <w:jc w:val="both"/>
            </w:pPr>
            <w:r>
              <w:t>Vrais positifs (TP)</w:t>
            </w:r>
          </w:p>
        </w:tc>
      </w:tr>
    </w:tbl>
    <w:p w14:paraId="437E0B16" w14:textId="77777777" w:rsidR="00270D0B" w:rsidRDefault="00270D0B" w:rsidP="00BB1727">
      <w:pPr>
        <w:jc w:val="both"/>
      </w:pPr>
    </w:p>
    <w:p w14:paraId="557C3251" w14:textId="77777777" w:rsidR="00270D0B" w:rsidRDefault="00BB1727" w:rsidP="00BB1727">
      <w:pPr>
        <w:spacing w:after="280"/>
        <w:jc w:val="both"/>
      </w:pPr>
      <w:r>
        <w:t>On appelle :</w:t>
      </w:r>
    </w:p>
    <w:p w14:paraId="18A339C6" w14:textId="77777777" w:rsidR="00270D0B" w:rsidRDefault="00BB1727" w:rsidP="00BB1727">
      <w:pPr>
        <w:numPr>
          <w:ilvl w:val="0"/>
          <w:numId w:val="5"/>
        </w:numPr>
        <w:jc w:val="both"/>
      </w:pPr>
      <w:r>
        <w:rPr>
          <w:b/>
        </w:rPr>
        <w:t>Vrais positifs</w:t>
      </w:r>
      <w:r>
        <w:rPr>
          <w:rFonts w:eastAsia="Times New Roman" w:hAnsi="Times New Roman" w:cs="Times New Roman"/>
        </w:rPr>
        <w:t xml:space="preserve"> (</w:t>
      </w:r>
      <w:proofErr w:type="spellStart"/>
      <w:r>
        <w:rPr>
          <w:rFonts w:eastAsia="Times New Roman" w:hAnsi="Times New Roman" w:cs="Times New Roman"/>
        </w:rPr>
        <w:t>True</w:t>
      </w:r>
      <w:proofErr w:type="spellEnd"/>
      <w:r>
        <w:rPr>
          <w:rFonts w:eastAsia="Times New Roman" w:hAnsi="Times New Roman" w:cs="Times New Roman"/>
        </w:rPr>
        <w:t xml:space="preserve"> Positives, TP) : les exemples positifs correctement classifiés ;</w:t>
      </w:r>
    </w:p>
    <w:p w14:paraId="48EC2D6E" w14:textId="77777777" w:rsidR="00270D0B" w:rsidRDefault="00BB1727" w:rsidP="00BB1727">
      <w:pPr>
        <w:numPr>
          <w:ilvl w:val="0"/>
          <w:numId w:val="5"/>
        </w:numPr>
        <w:jc w:val="both"/>
      </w:pPr>
      <w:r>
        <w:rPr>
          <w:b/>
        </w:rPr>
        <w:t>Faux positifs</w:t>
      </w:r>
      <w:r>
        <w:rPr>
          <w:rFonts w:eastAsia="Times New Roman" w:hAnsi="Times New Roman" w:cs="Times New Roman"/>
        </w:rPr>
        <w:t xml:space="preserve"> (False Positives, FP) : les exemples négatifs étiquetés positifs par le modèle ;</w:t>
      </w:r>
    </w:p>
    <w:p w14:paraId="2797C043" w14:textId="77777777" w:rsidR="00270D0B" w:rsidRDefault="00BB1727" w:rsidP="00BB1727">
      <w:pPr>
        <w:numPr>
          <w:ilvl w:val="0"/>
          <w:numId w:val="5"/>
        </w:numPr>
        <w:jc w:val="both"/>
      </w:pPr>
      <w:r>
        <w:rPr>
          <w:b/>
        </w:rPr>
        <w:t>Vrais n</w:t>
      </w:r>
      <w:r>
        <w:rPr>
          <w:b/>
        </w:rPr>
        <w:t>é</w:t>
      </w:r>
      <w:r>
        <w:rPr>
          <w:b/>
        </w:rPr>
        <w:t>gatifs</w:t>
      </w:r>
      <w:r>
        <w:rPr>
          <w:rFonts w:eastAsia="Times New Roman" w:hAnsi="Times New Roman" w:cs="Times New Roman"/>
        </w:rPr>
        <w:t xml:space="preserve"> (</w:t>
      </w:r>
      <w:proofErr w:type="spellStart"/>
      <w:r>
        <w:rPr>
          <w:rFonts w:eastAsia="Times New Roman" w:hAnsi="Times New Roman" w:cs="Times New Roman"/>
        </w:rPr>
        <w:t>True</w:t>
      </w:r>
      <w:proofErr w:type="spellEnd"/>
      <w:r>
        <w:rPr>
          <w:rFonts w:eastAsia="Times New Roman" w:hAnsi="Times New Roman" w:cs="Times New Roman"/>
        </w:rPr>
        <w:t xml:space="preserve"> </w:t>
      </w:r>
      <w:proofErr w:type="spellStart"/>
      <w:r>
        <w:rPr>
          <w:rFonts w:eastAsia="Times New Roman" w:hAnsi="Times New Roman" w:cs="Times New Roman"/>
        </w:rPr>
        <w:t>Negatives</w:t>
      </w:r>
      <w:proofErr w:type="spellEnd"/>
      <w:r>
        <w:rPr>
          <w:rFonts w:eastAsia="Times New Roman" w:hAnsi="Times New Roman" w:cs="Times New Roman"/>
        </w:rPr>
        <w:t>, TN) : les exemples négatifs correctement classifiés ;</w:t>
      </w:r>
    </w:p>
    <w:p w14:paraId="03B78204" w14:textId="77777777" w:rsidR="00270D0B" w:rsidRDefault="00BB1727" w:rsidP="00BB1727">
      <w:pPr>
        <w:numPr>
          <w:ilvl w:val="0"/>
          <w:numId w:val="5"/>
        </w:numPr>
        <w:jc w:val="both"/>
      </w:pPr>
      <w:r>
        <w:rPr>
          <w:b/>
        </w:rPr>
        <w:t>Faux n</w:t>
      </w:r>
      <w:r>
        <w:rPr>
          <w:b/>
        </w:rPr>
        <w:t>é</w:t>
      </w:r>
      <w:r>
        <w:rPr>
          <w:b/>
        </w:rPr>
        <w:t>gatifs</w:t>
      </w:r>
      <w:r>
        <w:rPr>
          <w:rFonts w:eastAsia="Times New Roman" w:hAnsi="Times New Roman" w:cs="Times New Roman"/>
        </w:rPr>
        <w:t xml:space="preserve"> (False </w:t>
      </w:r>
      <w:proofErr w:type="spellStart"/>
      <w:r>
        <w:rPr>
          <w:rFonts w:eastAsia="Times New Roman" w:hAnsi="Times New Roman" w:cs="Times New Roman"/>
        </w:rPr>
        <w:t>Negatives</w:t>
      </w:r>
      <w:proofErr w:type="spellEnd"/>
      <w:r>
        <w:rPr>
          <w:rFonts w:eastAsia="Times New Roman" w:hAnsi="Times New Roman" w:cs="Times New Roman"/>
        </w:rPr>
        <w:t>, FN) : les exemples positifs étiquetés négatifs par le modèle.</w:t>
      </w:r>
    </w:p>
    <w:p w14:paraId="3203855B" w14:textId="77777777" w:rsidR="00270D0B" w:rsidRDefault="00BB1727" w:rsidP="00BB1727">
      <w:pPr>
        <w:spacing w:after="280"/>
        <w:jc w:val="both"/>
      </w:pPr>
      <w:r>
        <w:rPr>
          <w:rFonts w:eastAsia="Times New Roman" w:hAnsi="Times New Roman" w:cs="Times New Roman"/>
        </w:rPr>
        <w:t xml:space="preserve">Les faux positifs sont aussi appelés </w:t>
      </w:r>
      <w:r>
        <w:rPr>
          <w:b/>
        </w:rPr>
        <w:t>fausses alarmes</w:t>
      </w:r>
      <w:r>
        <w:t xml:space="preserve"> ou </w:t>
      </w:r>
      <w:r>
        <w:rPr>
          <w:b/>
        </w:rPr>
        <w:t>erreurs de type I</w:t>
      </w:r>
      <w:r>
        <w:t xml:space="preserve">, par opposition aux </w:t>
      </w:r>
      <w:r>
        <w:rPr>
          <w:b/>
        </w:rPr>
        <w:t>erreurs de type II</w:t>
      </w:r>
      <w:r>
        <w:rPr>
          <w:rFonts w:eastAsia="Times New Roman" w:hAnsi="Times New Roman" w:cs="Times New Roman"/>
        </w:rPr>
        <w:t xml:space="preserve"> qui sont les faux négatifs.</w:t>
      </w:r>
    </w:p>
    <w:p w14:paraId="4C1FCCD9" w14:textId="55F267C6" w:rsidR="00270D0B" w:rsidRPr="00794959" w:rsidRDefault="00BB1727" w:rsidP="00794959">
      <w:pPr>
        <w:spacing w:after="280"/>
        <w:jc w:val="both"/>
      </w:pPr>
      <w:r w:rsidRPr="00794959">
        <w:rPr>
          <w:b/>
        </w:rPr>
        <w:t>Remarque</w:t>
      </w:r>
      <w:r w:rsidRPr="00794959">
        <w:br/>
      </w:r>
      <w:r w:rsidR="00EB2F37">
        <w:rPr>
          <w:rFonts w:eastAsia="Times New Roman" w:hAnsi="Times New Roman" w:cs="Times New Roman"/>
        </w:rPr>
        <w:tab/>
      </w:r>
      <w:r w:rsidRPr="00794959">
        <w:rPr>
          <w:rFonts w:eastAsia="Times New Roman" w:hAnsi="Times New Roman" w:cs="Times New Roman"/>
        </w:rPr>
        <w:t>Un moyen mnémotechnique pour ne pas confondre les erreurs de type I (ou de première espèce) et les erreurs de type II (ou de deuxième espèce) consiste à penser à l'ordre des événements dans l'histoire du garçon qui criait au loup : d'abord les gens du village pensent qu'il y a un loup alors qu'il n'y en a pas (erreur de première espèce), mais à la fin les gens du village pensent qu'il n'y a pas de loup alors qu'il y en a un (erreur de deuxième espèce).</w:t>
      </w:r>
    </w:p>
    <w:p w14:paraId="7B028409" w14:textId="4F83E920"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Il est possible de dériver de nombreux critères d'évaluation à partir de la matrice de confusion. En voici quelques exemples :</w:t>
      </w:r>
    </w:p>
    <w:p w14:paraId="2A9039FE" w14:textId="1293546F" w:rsidR="00270D0B" w:rsidRDefault="00EB2F37" w:rsidP="00BB1727">
      <w:pPr>
        <w:spacing w:after="280"/>
        <w:jc w:val="both"/>
      </w:pPr>
      <w:r>
        <w:rPr>
          <w:b/>
        </w:rPr>
        <w:tab/>
      </w:r>
      <w:r w:rsidR="00BB1727">
        <w:rPr>
          <w:b/>
        </w:rPr>
        <w:t>D</w:t>
      </w:r>
      <w:r w:rsidR="00BB1727">
        <w:rPr>
          <w:b/>
        </w:rPr>
        <w:t>é</w:t>
      </w:r>
      <w:r w:rsidR="00BB1727">
        <w:rPr>
          <w:b/>
        </w:rPr>
        <w:t>finition 3.10 (Rappel)</w:t>
      </w:r>
      <w:r w:rsidR="00794959">
        <w:t xml:space="preserve"> </w:t>
      </w:r>
      <w:r w:rsidR="00BB1727">
        <w:t xml:space="preserve">On appelle </w:t>
      </w:r>
      <w:r w:rsidR="00BB1727">
        <w:rPr>
          <w:b/>
        </w:rPr>
        <w:t>rappel</w:t>
      </w:r>
      <w:r w:rsidR="00BB1727">
        <w:t xml:space="preserve"> (</w:t>
      </w:r>
      <w:proofErr w:type="spellStart"/>
      <w:r w:rsidR="00BB1727">
        <w:t>recall</w:t>
      </w:r>
      <w:proofErr w:type="spellEnd"/>
      <w:r w:rsidR="00BB1727">
        <w:t xml:space="preserve">), ou </w:t>
      </w:r>
      <w:r w:rsidR="00BB1727">
        <w:rPr>
          <w:b/>
        </w:rPr>
        <w:t>sensibilit</w:t>
      </w:r>
      <w:r w:rsidR="00BB1727">
        <w:rPr>
          <w:b/>
        </w:rPr>
        <w:t>é</w:t>
      </w:r>
      <w:r w:rsidR="00BB1727">
        <w:t xml:space="preserve"> (</w:t>
      </w:r>
      <w:proofErr w:type="spellStart"/>
      <w:r w:rsidR="00BB1727">
        <w:t>sensitivity</w:t>
      </w:r>
      <w:proofErr w:type="spellEnd"/>
      <w:r w:rsidR="00BB1727">
        <w:t xml:space="preserve">), ou encore </w:t>
      </w:r>
      <w:r w:rsidR="00BB1727">
        <w:rPr>
          <w:b/>
        </w:rPr>
        <w:t>taux de vrais positifs</w:t>
      </w:r>
      <w:r w:rsidR="00BB1727">
        <w:rPr>
          <w:rFonts w:eastAsia="Times New Roman" w:hAnsi="Times New Roman" w:cs="Times New Roman"/>
        </w:rPr>
        <w:t xml:space="preserve"> (</w:t>
      </w:r>
      <w:proofErr w:type="spellStart"/>
      <w:r w:rsidR="00BB1727">
        <w:rPr>
          <w:rFonts w:eastAsia="Times New Roman" w:hAnsi="Times New Roman" w:cs="Times New Roman"/>
        </w:rPr>
        <w:t>True</w:t>
      </w:r>
      <w:proofErr w:type="spellEnd"/>
      <w:r w:rsidR="00BB1727">
        <w:rPr>
          <w:rFonts w:eastAsia="Times New Roman" w:hAnsi="Times New Roman" w:cs="Times New Roman"/>
        </w:rPr>
        <w:t xml:space="preserve"> Positive Rate, TPR), le taux de vrais positifs, c'est-à-dire la proportion d'exemples positifs correctement identifiés :</w:t>
      </w:r>
    </w:p>
    <w:p w14:paraId="7A0D8E53" w14:textId="77777777" w:rsidR="00270D0B" w:rsidRDefault="00BB1727" w:rsidP="00BB1727">
      <w:pPr>
        <w:spacing w:after="280"/>
        <w:jc w:val="both"/>
      </w:pPr>
      <m:oMathPara>
        <m:oMath>
          <m:r>
            <m:rPr>
              <m:nor/>
            </m:rPr>
            <m:t>Rappel</m:t>
          </m:r>
          <m:r>
            <m:rPr>
              <m:sty m:val="p"/>
            </m:rPr>
            <w:rPr>
              <w:rFonts w:ascii="Cambria Math" w:hAnsi="Cambria Math"/>
            </w:rPr>
            <m:t>=</m:t>
          </m:r>
          <m:f>
            <m:fPr>
              <m:ctrlPr>
                <w:rPr>
                  <w:rFonts w:ascii="Cambria Math" w:hAnsi="Cambria Math"/>
                </w:rPr>
              </m:ctrlPr>
            </m:fPr>
            <m:num>
              <m:r>
                <m:rPr>
                  <m:nor/>
                </m:rPr>
                <m:t>TP</m:t>
              </m:r>
            </m:num>
            <m:den>
              <m:r>
                <m:rPr>
                  <m:nor/>
                </m:rPr>
                <m:t>TP</m:t>
              </m:r>
              <m:r>
                <m:rPr>
                  <m:sty m:val="p"/>
                </m:rPr>
                <w:rPr>
                  <w:rFonts w:ascii="Cambria Math" w:hAnsi="Cambria Math"/>
                </w:rPr>
                <m:t>+</m:t>
              </m:r>
              <m:r>
                <m:rPr>
                  <m:nor/>
                </m:rPr>
                <m:t>FN</m:t>
              </m:r>
            </m:den>
          </m:f>
        </m:oMath>
      </m:oMathPara>
    </w:p>
    <w:p w14:paraId="751A0A2C" w14:textId="391AD7B4" w:rsidR="00270D0B" w:rsidRDefault="00EB2F37" w:rsidP="00BB1727">
      <w:pPr>
        <w:spacing w:after="280"/>
        <w:jc w:val="both"/>
      </w:pPr>
      <w:r>
        <w:rPr>
          <w:rFonts w:eastAsia="Times New Roman" w:hAnsi="Times New Roman" w:cs="Times New Roman"/>
        </w:rPr>
        <w:lastRenderedPageBreak/>
        <w:tab/>
      </w:r>
      <w:r w:rsidR="00BB1727">
        <w:rPr>
          <w:rFonts w:eastAsia="Times New Roman" w:hAnsi="Times New Roman" w:cs="Times New Roman"/>
        </w:rPr>
        <w:t xml:space="preserve">Il est cependant très facile d'avoir un bon rappel en prédisant que tous les exemples sont positifs. Ainsi, ce critère ne peut pas être utilisé seul. On lui adjoint souvent la </w:t>
      </w:r>
      <w:r w:rsidR="00BB1727">
        <w:rPr>
          <w:b/>
        </w:rPr>
        <w:t>pr</w:t>
      </w:r>
      <w:r w:rsidR="00BB1727">
        <w:rPr>
          <w:b/>
        </w:rPr>
        <w:t>é</w:t>
      </w:r>
      <w:r w:rsidR="00BB1727">
        <w:rPr>
          <w:b/>
        </w:rPr>
        <w:t>cision</w:t>
      </w:r>
      <w:r w:rsidR="00BB1727">
        <w:t xml:space="preserve"> :</w:t>
      </w:r>
    </w:p>
    <w:p w14:paraId="03053C4A" w14:textId="55D1E2C4" w:rsidR="00270D0B" w:rsidRDefault="00EB2F37" w:rsidP="00BB1727">
      <w:pPr>
        <w:spacing w:after="280"/>
        <w:jc w:val="both"/>
      </w:pPr>
      <w:r>
        <w:rPr>
          <w:b/>
        </w:rPr>
        <w:tab/>
      </w:r>
      <w:r w:rsidR="00BB1727">
        <w:rPr>
          <w:b/>
        </w:rPr>
        <w:t>D</w:t>
      </w:r>
      <w:r w:rsidR="00BB1727">
        <w:rPr>
          <w:b/>
        </w:rPr>
        <w:t>é</w:t>
      </w:r>
      <w:r w:rsidR="00BB1727">
        <w:rPr>
          <w:b/>
        </w:rPr>
        <w:t>finition 3.11 (Pr</w:t>
      </w:r>
      <w:r w:rsidR="00BB1727">
        <w:rPr>
          <w:b/>
        </w:rPr>
        <w:t>é</w:t>
      </w:r>
      <w:r w:rsidR="00BB1727">
        <w:rPr>
          <w:b/>
        </w:rPr>
        <w:t>cision)</w:t>
      </w:r>
      <w:r w:rsidR="00794959">
        <w:t xml:space="preserve"> </w:t>
      </w:r>
      <w:r w:rsidR="00BB1727">
        <w:t xml:space="preserve">On appelle </w:t>
      </w:r>
      <w:r w:rsidR="00BB1727">
        <w:rPr>
          <w:b/>
        </w:rPr>
        <w:t>pr</w:t>
      </w:r>
      <w:r w:rsidR="00BB1727">
        <w:rPr>
          <w:b/>
        </w:rPr>
        <w:t>é</w:t>
      </w:r>
      <w:r w:rsidR="00BB1727">
        <w:rPr>
          <w:b/>
        </w:rPr>
        <w:t>cision</w:t>
      </w:r>
      <w:r w:rsidR="00BB1727">
        <w:t xml:space="preserve">, ou </w:t>
      </w:r>
      <w:r w:rsidR="00BB1727">
        <w:rPr>
          <w:b/>
        </w:rPr>
        <w:t>valeur positive pr</w:t>
      </w:r>
      <w:r w:rsidR="00BB1727">
        <w:rPr>
          <w:b/>
        </w:rPr>
        <w:t>é</w:t>
      </w:r>
      <w:r w:rsidR="00BB1727">
        <w:rPr>
          <w:b/>
        </w:rPr>
        <w:t>dictive</w:t>
      </w:r>
      <w:r w:rsidR="00BB1727">
        <w:rPr>
          <w:rFonts w:eastAsia="Times New Roman" w:hAnsi="Times New Roman" w:cs="Times New Roman"/>
        </w:rPr>
        <w:t xml:space="preserve"> (Positive </w:t>
      </w:r>
      <w:proofErr w:type="spellStart"/>
      <w:r w:rsidR="00BB1727">
        <w:rPr>
          <w:rFonts w:eastAsia="Times New Roman" w:hAnsi="Times New Roman" w:cs="Times New Roman"/>
        </w:rPr>
        <w:t>Predictive</w:t>
      </w:r>
      <w:proofErr w:type="spellEnd"/>
      <w:r w:rsidR="00BB1727">
        <w:rPr>
          <w:rFonts w:eastAsia="Times New Roman" w:hAnsi="Times New Roman" w:cs="Times New Roman"/>
        </w:rPr>
        <w:t xml:space="preserve"> Value, PPV), la proportion de prédictions correctes parmi les prédictions positives :</w:t>
      </w:r>
    </w:p>
    <w:p w14:paraId="7AE6918F" w14:textId="77777777" w:rsidR="00270D0B" w:rsidRDefault="00BB1727" w:rsidP="00BB1727">
      <w:pPr>
        <w:spacing w:after="280"/>
        <w:jc w:val="both"/>
      </w:pPr>
      <m:oMathPara>
        <m:oMath>
          <m:r>
            <m:rPr>
              <m:nor/>
            </m:rPr>
            <m:t>Pr</m:t>
          </m:r>
          <m:r>
            <m:rPr>
              <m:nor/>
            </m:rPr>
            <m:t>é</m:t>
          </m:r>
          <m:r>
            <m:rPr>
              <m:nor/>
            </m:rPr>
            <m:t>cision</m:t>
          </m:r>
          <m:r>
            <m:rPr>
              <m:sty m:val="p"/>
            </m:rPr>
            <w:rPr>
              <w:rFonts w:ascii="Cambria Math" w:hAnsi="Cambria Math"/>
            </w:rPr>
            <m:t>=</m:t>
          </m:r>
          <m:f>
            <m:fPr>
              <m:ctrlPr>
                <w:rPr>
                  <w:rFonts w:ascii="Cambria Math" w:hAnsi="Cambria Math"/>
                </w:rPr>
              </m:ctrlPr>
            </m:fPr>
            <m:num>
              <m:r>
                <m:rPr>
                  <m:nor/>
                </m:rPr>
                <m:t>TP</m:t>
              </m:r>
            </m:num>
            <m:den>
              <m:r>
                <m:rPr>
                  <m:nor/>
                </m:rPr>
                <m:t>TP</m:t>
              </m:r>
              <m:r>
                <m:rPr>
                  <m:sty m:val="p"/>
                </m:rPr>
                <w:rPr>
                  <w:rFonts w:ascii="Cambria Math" w:hAnsi="Cambria Math"/>
                </w:rPr>
                <m:t>+</m:t>
              </m:r>
              <m:r>
                <m:rPr>
                  <m:nor/>
                </m:rPr>
                <m:t>FP</m:t>
              </m:r>
            </m:den>
          </m:f>
        </m:oMath>
      </m:oMathPara>
    </w:p>
    <w:p w14:paraId="7A6B215F" w14:textId="6FF552E4"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De même que l'on peut facilement avoir un très bon rappel au détriment de la précision, il est aisé d'obtenir une bonne précision (au détriment du rappel) en faisant très peu de prédictions positives (ce qui réduit le risque qu'elles soient erronées).</w:t>
      </w:r>
    </w:p>
    <w:p w14:paraId="7AEC252E" w14:textId="3179DEEE" w:rsidR="00270D0B" w:rsidRPr="00794959" w:rsidRDefault="00BB1727" w:rsidP="00794959">
      <w:pPr>
        <w:spacing w:after="280"/>
        <w:jc w:val="both"/>
      </w:pPr>
      <w:r w:rsidRPr="00794959">
        <w:rPr>
          <w:b/>
        </w:rPr>
        <w:t>Remarque</w:t>
      </w:r>
      <w:r w:rsidRPr="00794959">
        <w:br/>
      </w:r>
      <w:r w:rsidR="00EB2F37">
        <w:tab/>
      </w:r>
      <w:r w:rsidRPr="00794959">
        <w:t xml:space="preserve">L'anglais distingue </w:t>
      </w:r>
      <w:proofErr w:type="spellStart"/>
      <w:r w:rsidRPr="00794959">
        <w:rPr>
          <w:i/>
        </w:rPr>
        <w:t>precision</w:t>
      </w:r>
      <w:proofErr w:type="spellEnd"/>
      <w:r w:rsidRPr="00794959">
        <w:rPr>
          <w:rFonts w:eastAsia="Times New Roman" w:hAnsi="Times New Roman" w:cs="Times New Roman"/>
        </w:rPr>
        <w:t xml:space="preserve"> (la précision ci-dessus) et </w:t>
      </w:r>
      <w:proofErr w:type="spellStart"/>
      <w:r w:rsidRPr="00794959">
        <w:rPr>
          <w:i/>
        </w:rPr>
        <w:t>accuracy</w:t>
      </w:r>
      <w:proofErr w:type="spellEnd"/>
      <w:r w:rsidRPr="00794959">
        <w:rPr>
          <w:rFonts w:eastAsia="Times New Roman" w:hAnsi="Times New Roman" w:cs="Times New Roman"/>
        </w:rPr>
        <w:t xml:space="preserve">, qui est la proportion d'exemples correctement étiquetés, soit le complémentaire à 1 du taux d'erreur, aussi traduit par </w:t>
      </w:r>
      <w:r w:rsidRPr="00794959">
        <w:rPr>
          <w:i/>
        </w:rPr>
        <w:t>pr</w:t>
      </w:r>
      <w:r w:rsidRPr="00794959">
        <w:rPr>
          <w:i/>
        </w:rPr>
        <w:t>é</w:t>
      </w:r>
      <w:r w:rsidRPr="00794959">
        <w:rPr>
          <w:i/>
        </w:rPr>
        <w:t>cision</w:t>
      </w:r>
      <w:r w:rsidRPr="00794959">
        <w:rPr>
          <w:rFonts w:eastAsia="Times New Roman" w:hAnsi="Times New Roman" w:cs="Times New Roman"/>
        </w:rPr>
        <w:t xml:space="preserve"> en français. On utilisera donc ces termes avec précaution.</w:t>
      </w:r>
    </w:p>
    <w:p w14:paraId="505B56A9" w14:textId="2B6A0BBB"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Pour résumer rappel et précision en un seul nombre, on calculera la </w:t>
      </w:r>
      <w:r w:rsidR="00BB1727">
        <w:rPr>
          <w:b/>
        </w:rPr>
        <w:t>F-mesure</w:t>
      </w:r>
      <w:r w:rsidR="00BB1727">
        <w:t xml:space="preserve"> :</w:t>
      </w:r>
    </w:p>
    <w:p w14:paraId="5B188276" w14:textId="1E50D269" w:rsidR="00270D0B" w:rsidRDefault="00EB2F37" w:rsidP="00BB1727">
      <w:pPr>
        <w:spacing w:after="280"/>
        <w:jc w:val="both"/>
      </w:pPr>
      <w:r>
        <w:rPr>
          <w:b/>
        </w:rPr>
        <w:tab/>
      </w:r>
      <w:r w:rsidR="00BB1727">
        <w:rPr>
          <w:b/>
        </w:rPr>
        <w:t>D</w:t>
      </w:r>
      <w:r w:rsidR="00BB1727">
        <w:rPr>
          <w:b/>
        </w:rPr>
        <w:t>é</w:t>
      </w:r>
      <w:r w:rsidR="00BB1727">
        <w:rPr>
          <w:b/>
        </w:rPr>
        <w:t>finition 3.12 (F-mesure)</w:t>
      </w:r>
      <w:r w:rsidR="00794959">
        <w:t xml:space="preserve"> </w:t>
      </w:r>
      <w:r w:rsidR="00BB1727">
        <w:t xml:space="preserve">On appelle </w:t>
      </w:r>
      <w:r w:rsidR="00BB1727">
        <w:rPr>
          <w:b/>
        </w:rPr>
        <w:t>F-mesure</w:t>
      </w:r>
      <w:r w:rsidR="00BB1727">
        <w:rPr>
          <w:rFonts w:eastAsia="Times New Roman" w:hAnsi="Times New Roman" w:cs="Times New Roman"/>
        </w:rPr>
        <w:t xml:space="preserve"> (F-score ou F1-score) la moyenne harmonique de la précision et du rappel :</w:t>
      </w:r>
    </w:p>
    <w:p w14:paraId="5651C660" w14:textId="77777777" w:rsidR="00270D0B" w:rsidRDefault="00BB1727" w:rsidP="00BB1727">
      <w:pPr>
        <w:spacing w:after="280"/>
        <w:jc w:val="both"/>
      </w:pPr>
      <m:oMathPara>
        <m:oMath>
          <m:r>
            <w:rPr>
              <w:rFonts w:ascii="Cambria Math" w:hAnsi="Cambria Math"/>
            </w:rPr>
            <m:t>F</m:t>
          </m:r>
          <m:r>
            <m:rPr>
              <m:sty m:val="p"/>
            </m:rPr>
            <w:rPr>
              <w:rFonts w:ascii="Cambria Math" w:hAnsi="Cambria Math"/>
            </w:rPr>
            <m:t>=2⋅</m:t>
          </m:r>
          <m:f>
            <m:fPr>
              <m:ctrlPr>
                <w:rPr>
                  <w:rFonts w:ascii="Cambria Math" w:hAnsi="Cambria Math"/>
                </w:rPr>
              </m:ctrlPr>
            </m:fPr>
            <m:num>
              <m:r>
                <m:rPr>
                  <m:nor/>
                </m:rPr>
                <m:t>Pr</m:t>
              </m:r>
              <m:r>
                <m:rPr>
                  <m:nor/>
                </m:rPr>
                <m:t>é</m:t>
              </m:r>
              <m:r>
                <m:rPr>
                  <m:nor/>
                </m:rPr>
                <m:t>cision</m:t>
              </m:r>
              <m:r>
                <m:rPr>
                  <m:sty m:val="p"/>
                </m:rPr>
                <w:rPr>
                  <w:rFonts w:ascii="Cambria Math" w:hAnsi="Cambria Math"/>
                </w:rPr>
                <m:t>⋅</m:t>
              </m:r>
              <m:r>
                <m:rPr>
                  <m:nor/>
                </m:rPr>
                <m:t>Rappel</m:t>
              </m:r>
            </m:num>
            <m:den>
              <m:r>
                <m:rPr>
                  <m:nor/>
                </m:rPr>
                <m:t>Pr</m:t>
              </m:r>
              <m:r>
                <m:rPr>
                  <m:nor/>
                </m:rPr>
                <m:t>é</m:t>
              </m:r>
              <m:r>
                <m:rPr>
                  <m:nor/>
                </m:rPr>
                <m:t>cision</m:t>
              </m:r>
              <m:r>
                <m:rPr>
                  <m:sty m:val="p"/>
                </m:rPr>
                <w:rPr>
                  <w:rFonts w:ascii="Cambria Math" w:hAnsi="Cambria Math"/>
                </w:rPr>
                <m:t>+</m:t>
              </m:r>
              <m:r>
                <m:rPr>
                  <m:nor/>
                </m:rPr>
                <m:t>Rappel</m:t>
              </m:r>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2 </m:t>
              </m:r>
              <m:r>
                <m:rPr>
                  <m:nor/>
                </m:rPr>
                <m:t>TP</m:t>
              </m:r>
            </m:num>
            <m:den>
              <m:r>
                <m:rPr>
                  <m:sty m:val="p"/>
                </m:rPr>
                <w:rPr>
                  <w:rFonts w:ascii="Cambria Math" w:hAnsi="Cambria Math"/>
                </w:rPr>
                <m:t xml:space="preserve">2 </m:t>
              </m:r>
              <m:r>
                <m:rPr>
                  <m:nor/>
                </m:rPr>
                <m:t>TP</m:t>
              </m:r>
              <m:r>
                <m:rPr>
                  <m:sty m:val="p"/>
                </m:rPr>
                <w:rPr>
                  <w:rFonts w:ascii="Cambria Math" w:hAnsi="Cambria Math"/>
                </w:rPr>
                <m:t>+</m:t>
              </m:r>
              <m:r>
                <m:rPr>
                  <m:nor/>
                </m:rPr>
                <m:t>FP</m:t>
              </m:r>
              <m:r>
                <m:rPr>
                  <m:sty m:val="p"/>
                </m:rPr>
                <w:rPr>
                  <w:rFonts w:ascii="Cambria Math" w:hAnsi="Cambria Math"/>
                </w:rPr>
                <m:t>+</m:t>
              </m:r>
              <m:r>
                <m:rPr>
                  <m:nor/>
                </m:rPr>
                <m:t>FN</m:t>
              </m:r>
            </m:den>
          </m:f>
        </m:oMath>
      </m:oMathPara>
    </w:p>
    <w:p w14:paraId="1A344517" w14:textId="1DA4D8F1" w:rsidR="00270D0B" w:rsidRDefault="00EB2F37" w:rsidP="00BB1727">
      <w:pPr>
        <w:spacing w:after="280"/>
        <w:jc w:val="both"/>
      </w:pPr>
      <w:r>
        <w:rPr>
          <w:b/>
        </w:rPr>
        <w:tab/>
      </w:r>
      <w:r w:rsidR="00BB1727">
        <w:rPr>
          <w:b/>
        </w:rPr>
        <w:t>D</w:t>
      </w:r>
      <w:r w:rsidR="00BB1727">
        <w:rPr>
          <w:b/>
        </w:rPr>
        <w:t>é</w:t>
      </w:r>
      <w:r w:rsidR="00BB1727">
        <w:rPr>
          <w:b/>
        </w:rPr>
        <w:t>finition 3.13 (Sp</w:t>
      </w:r>
      <w:r w:rsidR="00BB1727">
        <w:rPr>
          <w:b/>
        </w:rPr>
        <w:t>é</w:t>
      </w:r>
      <w:r w:rsidR="00BB1727">
        <w:rPr>
          <w:b/>
        </w:rPr>
        <w:t>cificit</w:t>
      </w:r>
      <w:r w:rsidR="00BB1727">
        <w:rPr>
          <w:b/>
        </w:rPr>
        <w:t>é</w:t>
      </w:r>
      <w:r w:rsidR="00BB1727">
        <w:rPr>
          <w:b/>
        </w:rPr>
        <w:t>)</w:t>
      </w:r>
      <w:r w:rsidR="00794959">
        <w:t xml:space="preserve"> </w:t>
      </w:r>
      <w:r w:rsidR="00BB1727">
        <w:t xml:space="preserve">On appelle </w:t>
      </w:r>
      <w:r w:rsidR="00BB1727">
        <w:rPr>
          <w:b/>
        </w:rPr>
        <w:t>sp</w:t>
      </w:r>
      <w:r w:rsidR="00BB1727">
        <w:rPr>
          <w:b/>
        </w:rPr>
        <w:t>é</w:t>
      </w:r>
      <w:r w:rsidR="00BB1727">
        <w:rPr>
          <w:b/>
        </w:rPr>
        <w:t>cificit</w:t>
      </w:r>
      <w:r w:rsidR="00BB1727">
        <w:rPr>
          <w:b/>
        </w:rPr>
        <w:t>é</w:t>
      </w:r>
      <w:r w:rsidR="00BB1727">
        <w:rPr>
          <w:rFonts w:eastAsia="Times New Roman" w:hAnsi="Times New Roman" w:cs="Times New Roman"/>
        </w:rPr>
        <w:t xml:space="preserve"> le taux de vrais négatifs, autrement dit la proportion d'exemples négatifs correctement identifiés comme tels :</w:t>
      </w:r>
    </w:p>
    <w:p w14:paraId="624B52A1" w14:textId="77777777" w:rsidR="00270D0B" w:rsidRDefault="00BB1727" w:rsidP="00BB1727">
      <w:pPr>
        <w:spacing w:after="280"/>
        <w:jc w:val="both"/>
      </w:pPr>
      <m:oMathPara>
        <m:oMath>
          <m:r>
            <m:rPr>
              <m:nor/>
            </m:rPr>
            <m:t>Sp</m:t>
          </m:r>
          <m:r>
            <m:rPr>
              <m:nor/>
            </m:rPr>
            <m:t>é</m:t>
          </m:r>
          <m:r>
            <m:rPr>
              <m:nor/>
            </m:rPr>
            <m:t>cificit</m:t>
          </m:r>
          <m:r>
            <m:rPr>
              <m:nor/>
            </m:rPr>
            <m:t>é</m:t>
          </m:r>
          <m:r>
            <m:rPr>
              <m:sty m:val="p"/>
            </m:rPr>
            <w:rPr>
              <w:rFonts w:ascii="Cambria Math" w:hAnsi="Cambria Math"/>
            </w:rPr>
            <m:t>=</m:t>
          </m:r>
          <m:f>
            <m:fPr>
              <m:ctrlPr>
                <w:rPr>
                  <w:rFonts w:ascii="Cambria Math" w:hAnsi="Cambria Math"/>
                </w:rPr>
              </m:ctrlPr>
            </m:fPr>
            <m:num>
              <m:r>
                <m:rPr>
                  <m:nor/>
                </m:rPr>
                <m:t>TN</m:t>
              </m:r>
            </m:num>
            <m:den>
              <m:r>
                <m:rPr>
                  <m:nor/>
                </m:rPr>
                <m:t>FP</m:t>
              </m:r>
              <m:r>
                <m:rPr>
                  <m:sty m:val="p"/>
                </m:rPr>
                <w:rPr>
                  <w:rFonts w:ascii="Cambria Math" w:hAnsi="Cambria Math"/>
                </w:rPr>
                <m:t>+</m:t>
              </m:r>
              <m:r>
                <m:rPr>
                  <m:nor/>
                </m:rPr>
                <m:t>TN</m:t>
              </m:r>
            </m:den>
          </m:f>
        </m:oMath>
      </m:oMathPara>
    </w:p>
    <w:p w14:paraId="7EADCB11" w14:textId="58236460"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La spécificité est le complémentaire à 1 du </w:t>
      </w:r>
      <w:r w:rsidR="00BB1727">
        <w:rPr>
          <w:b/>
        </w:rPr>
        <w:t>taux de faux positifs</w:t>
      </w:r>
      <w:r w:rsidR="00BB1727">
        <w:t xml:space="preserve"> (False Positive Rate, FPR).</w:t>
      </w:r>
    </w:p>
    <w:p w14:paraId="6C54508C" w14:textId="60CE9402" w:rsidR="00270D0B" w:rsidRDefault="00EB2F37" w:rsidP="00BB1727">
      <w:pPr>
        <w:spacing w:after="280"/>
        <w:jc w:val="both"/>
      </w:pPr>
      <w:r>
        <w:rPr>
          <w:rFonts w:eastAsia="Times New Roman" w:hAnsi="Times New Roman" w:cs="Times New Roman"/>
        </w:rPr>
        <w:lastRenderedPageBreak/>
        <w:tab/>
      </w:r>
      <w:r w:rsidR="00BB1727">
        <w:rPr>
          <w:rFonts w:eastAsia="Times New Roman" w:hAnsi="Times New Roman" w:cs="Times New Roman"/>
        </w:rPr>
        <w:t>Prenons l'exemple d'un test clinique pour illustrer ces différents critères. Il ne s'agit pas ici d'un modèle d'apprentissage automatique, mais d'un frottis de dépistage du cancer du col de l'utérus : il s'agit d'un examen beaucoup plus simple et moins invasif qu'un examen histologique, qui doit être interprété par un expert, et servira de vérité terrain.</w:t>
      </w:r>
    </w:p>
    <w:p w14:paraId="79A2F0FC" w14:textId="77777777" w:rsidR="00270D0B" w:rsidRDefault="00270D0B" w:rsidP="00BB1727">
      <w:pPr>
        <w:spacing w:before="240" w:line="271" w:lineRule="auto"/>
        <w:jc w:val="both"/>
      </w:pP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285"/>
        <w:gridCol w:w="1117"/>
        <w:gridCol w:w="1846"/>
        <w:gridCol w:w="916"/>
      </w:tblGrid>
      <w:tr w:rsidR="00270D0B" w14:paraId="577D90D6" w14:textId="77777777">
        <w:trPr>
          <w:cantSplit/>
          <w:tblCellSpacing w:w="0" w:type="dxa"/>
          <w:jc w:val="center"/>
        </w:trPr>
        <w:tc>
          <w:tcPr>
            <w:tcW w:w="0" w:type="auto"/>
            <w:tcBorders>
              <w:top w:val="single" w:sz="1" w:space="0" w:color="000000"/>
              <w:bottom w:val="single" w:sz="1" w:space="0" w:color="000000"/>
            </w:tcBorders>
          </w:tcPr>
          <w:p w14:paraId="7B03E390" w14:textId="77777777" w:rsidR="00270D0B" w:rsidRDefault="00270D0B" w:rsidP="00BB1727">
            <w:pPr>
              <w:jc w:val="both"/>
            </w:pPr>
          </w:p>
        </w:tc>
        <w:tc>
          <w:tcPr>
            <w:tcW w:w="0" w:type="auto"/>
            <w:tcBorders>
              <w:top w:val="single" w:sz="1" w:space="0" w:color="000000"/>
              <w:left w:val="single" w:sz="1" w:space="0" w:color="000000"/>
              <w:bottom w:val="single" w:sz="1" w:space="0" w:color="000000"/>
              <w:right w:val="single" w:sz="1" w:space="0" w:color="000000"/>
            </w:tcBorders>
          </w:tcPr>
          <w:p w14:paraId="5F3DFA6E" w14:textId="77777777" w:rsidR="00270D0B" w:rsidRDefault="00BB1727" w:rsidP="00BB1727">
            <w:pPr>
              <w:jc w:val="both"/>
            </w:pPr>
            <w:r>
              <w:t>Cancer</w:t>
            </w:r>
          </w:p>
        </w:tc>
        <w:tc>
          <w:tcPr>
            <w:tcW w:w="0" w:type="auto"/>
            <w:tcBorders>
              <w:top w:val="single" w:sz="1" w:space="0" w:color="000000"/>
              <w:bottom w:val="single" w:sz="1" w:space="0" w:color="000000"/>
              <w:right w:val="single" w:sz="1" w:space="0" w:color="000000"/>
            </w:tcBorders>
          </w:tcPr>
          <w:p w14:paraId="67BD362F" w14:textId="77777777" w:rsidR="00270D0B" w:rsidRDefault="00BB1727" w:rsidP="00BB1727">
            <w:pPr>
              <w:jc w:val="both"/>
            </w:pPr>
            <w:r>
              <w:t>Pas de cancer</w:t>
            </w:r>
          </w:p>
        </w:tc>
        <w:tc>
          <w:tcPr>
            <w:tcW w:w="0" w:type="auto"/>
            <w:tcBorders>
              <w:top w:val="single" w:sz="1" w:space="0" w:color="000000"/>
              <w:bottom w:val="single" w:sz="1" w:space="0" w:color="000000"/>
            </w:tcBorders>
          </w:tcPr>
          <w:p w14:paraId="60D49C50" w14:textId="77777777" w:rsidR="00270D0B" w:rsidRDefault="00BB1727" w:rsidP="00BB1727">
            <w:pPr>
              <w:jc w:val="both"/>
            </w:pPr>
            <w:r>
              <w:t>Total</w:t>
            </w:r>
          </w:p>
        </w:tc>
      </w:tr>
      <w:tr w:rsidR="00270D0B" w14:paraId="43042533" w14:textId="77777777">
        <w:trPr>
          <w:cantSplit/>
          <w:tblCellSpacing w:w="0" w:type="dxa"/>
          <w:jc w:val="center"/>
        </w:trPr>
        <w:tc>
          <w:tcPr>
            <w:tcW w:w="0" w:type="auto"/>
            <w:tcBorders>
              <w:top w:val="single" w:sz="1" w:space="0" w:color="000000"/>
              <w:bottom w:val="single" w:sz="1" w:space="0" w:color="000000"/>
            </w:tcBorders>
          </w:tcPr>
          <w:p w14:paraId="072A518A" w14:textId="77777777" w:rsidR="00270D0B" w:rsidRDefault="00BB1727" w:rsidP="00BB1727">
            <w:pPr>
              <w:jc w:val="both"/>
            </w:pPr>
            <w:r>
              <w:t>Frottis +</w:t>
            </w:r>
          </w:p>
        </w:tc>
        <w:tc>
          <w:tcPr>
            <w:tcW w:w="0" w:type="auto"/>
            <w:tcBorders>
              <w:top w:val="single" w:sz="1" w:space="0" w:color="000000"/>
              <w:left w:val="single" w:sz="1" w:space="0" w:color="000000"/>
              <w:bottom w:val="single" w:sz="1" w:space="0" w:color="000000"/>
              <w:right w:val="single" w:sz="1" w:space="0" w:color="000000"/>
            </w:tcBorders>
          </w:tcPr>
          <w:p w14:paraId="7D86CEE8" w14:textId="77777777" w:rsidR="00270D0B" w:rsidRDefault="00BB1727" w:rsidP="00BB1727">
            <w:pPr>
              <w:jc w:val="both"/>
            </w:pPr>
            <w:r>
              <w:t>190</w:t>
            </w:r>
          </w:p>
        </w:tc>
        <w:tc>
          <w:tcPr>
            <w:tcW w:w="0" w:type="auto"/>
            <w:tcBorders>
              <w:top w:val="single" w:sz="1" w:space="0" w:color="000000"/>
              <w:bottom w:val="single" w:sz="1" w:space="0" w:color="000000"/>
              <w:right w:val="single" w:sz="1" w:space="0" w:color="000000"/>
            </w:tcBorders>
          </w:tcPr>
          <w:p w14:paraId="37BC87D4" w14:textId="77777777" w:rsidR="00270D0B" w:rsidRDefault="00BB1727" w:rsidP="00BB1727">
            <w:pPr>
              <w:jc w:val="both"/>
            </w:pPr>
            <w:r>
              <w:t>210</w:t>
            </w:r>
          </w:p>
        </w:tc>
        <w:tc>
          <w:tcPr>
            <w:tcW w:w="0" w:type="auto"/>
            <w:tcBorders>
              <w:top w:val="single" w:sz="1" w:space="0" w:color="000000"/>
              <w:bottom w:val="single" w:sz="1" w:space="0" w:color="000000"/>
            </w:tcBorders>
          </w:tcPr>
          <w:p w14:paraId="56B39912" w14:textId="77777777" w:rsidR="00270D0B" w:rsidRDefault="00BB1727" w:rsidP="00BB1727">
            <w:pPr>
              <w:jc w:val="both"/>
            </w:pPr>
            <w:r>
              <w:t>400</w:t>
            </w:r>
          </w:p>
        </w:tc>
      </w:tr>
      <w:tr w:rsidR="00270D0B" w14:paraId="2DFF6C09" w14:textId="77777777">
        <w:trPr>
          <w:cantSplit/>
          <w:tblCellSpacing w:w="0" w:type="dxa"/>
          <w:jc w:val="center"/>
        </w:trPr>
        <w:tc>
          <w:tcPr>
            <w:tcW w:w="0" w:type="auto"/>
            <w:tcBorders>
              <w:top w:val="single" w:sz="1" w:space="0" w:color="000000"/>
              <w:bottom w:val="single" w:sz="1" w:space="0" w:color="000000"/>
            </w:tcBorders>
          </w:tcPr>
          <w:p w14:paraId="1113F151" w14:textId="77777777" w:rsidR="00270D0B" w:rsidRDefault="00BB1727" w:rsidP="00BB1727">
            <w:pPr>
              <w:jc w:val="both"/>
            </w:pPr>
            <w:r>
              <w:t>Frottis -</w:t>
            </w:r>
          </w:p>
        </w:tc>
        <w:tc>
          <w:tcPr>
            <w:tcW w:w="0" w:type="auto"/>
            <w:tcBorders>
              <w:top w:val="single" w:sz="1" w:space="0" w:color="000000"/>
              <w:left w:val="single" w:sz="1" w:space="0" w:color="000000"/>
              <w:bottom w:val="single" w:sz="1" w:space="0" w:color="000000"/>
              <w:right w:val="single" w:sz="1" w:space="0" w:color="000000"/>
            </w:tcBorders>
          </w:tcPr>
          <w:p w14:paraId="451D7775" w14:textId="77777777" w:rsidR="00270D0B" w:rsidRDefault="00BB1727" w:rsidP="00BB1727">
            <w:pPr>
              <w:jc w:val="both"/>
            </w:pPr>
            <w:r>
              <w:t>10</w:t>
            </w:r>
          </w:p>
        </w:tc>
        <w:tc>
          <w:tcPr>
            <w:tcW w:w="0" w:type="auto"/>
            <w:tcBorders>
              <w:top w:val="single" w:sz="1" w:space="0" w:color="000000"/>
              <w:bottom w:val="single" w:sz="1" w:space="0" w:color="000000"/>
              <w:right w:val="single" w:sz="1" w:space="0" w:color="000000"/>
            </w:tcBorders>
          </w:tcPr>
          <w:p w14:paraId="167CA4D7" w14:textId="77777777" w:rsidR="00270D0B" w:rsidRDefault="00BB1727" w:rsidP="00BB1727">
            <w:pPr>
              <w:jc w:val="both"/>
            </w:pPr>
            <w:r>
              <w:t>3590</w:t>
            </w:r>
          </w:p>
        </w:tc>
        <w:tc>
          <w:tcPr>
            <w:tcW w:w="0" w:type="auto"/>
            <w:tcBorders>
              <w:top w:val="single" w:sz="1" w:space="0" w:color="000000"/>
              <w:bottom w:val="single" w:sz="1" w:space="0" w:color="000000"/>
            </w:tcBorders>
          </w:tcPr>
          <w:p w14:paraId="46CC7DB5" w14:textId="77777777" w:rsidR="00270D0B" w:rsidRDefault="00BB1727" w:rsidP="00BB1727">
            <w:pPr>
              <w:jc w:val="both"/>
            </w:pPr>
            <w:r>
              <w:t>3600</w:t>
            </w:r>
          </w:p>
        </w:tc>
      </w:tr>
      <w:tr w:rsidR="00270D0B" w14:paraId="3CD6C9EF" w14:textId="77777777">
        <w:trPr>
          <w:cantSplit/>
          <w:tblCellSpacing w:w="0" w:type="dxa"/>
          <w:jc w:val="center"/>
        </w:trPr>
        <w:tc>
          <w:tcPr>
            <w:tcW w:w="0" w:type="auto"/>
            <w:tcBorders>
              <w:top w:val="single" w:sz="1" w:space="0" w:color="000000"/>
              <w:bottom w:val="single" w:sz="1" w:space="0" w:color="000000"/>
            </w:tcBorders>
          </w:tcPr>
          <w:p w14:paraId="3AE06299" w14:textId="77777777" w:rsidR="00270D0B" w:rsidRDefault="00BB1727" w:rsidP="00BB1727">
            <w:pPr>
              <w:jc w:val="both"/>
            </w:pPr>
            <w:r>
              <w:t>Total</w:t>
            </w:r>
          </w:p>
        </w:tc>
        <w:tc>
          <w:tcPr>
            <w:tcW w:w="0" w:type="auto"/>
            <w:tcBorders>
              <w:top w:val="single" w:sz="1" w:space="0" w:color="000000"/>
              <w:left w:val="single" w:sz="1" w:space="0" w:color="000000"/>
              <w:bottom w:val="single" w:sz="1" w:space="0" w:color="000000"/>
              <w:right w:val="single" w:sz="1" w:space="0" w:color="000000"/>
            </w:tcBorders>
          </w:tcPr>
          <w:p w14:paraId="4D334C71" w14:textId="77777777" w:rsidR="00270D0B" w:rsidRDefault="00BB1727" w:rsidP="00BB1727">
            <w:pPr>
              <w:jc w:val="both"/>
            </w:pPr>
            <w:r>
              <w:t>200</w:t>
            </w:r>
          </w:p>
        </w:tc>
        <w:tc>
          <w:tcPr>
            <w:tcW w:w="0" w:type="auto"/>
            <w:tcBorders>
              <w:top w:val="single" w:sz="1" w:space="0" w:color="000000"/>
              <w:bottom w:val="single" w:sz="1" w:space="0" w:color="000000"/>
              <w:right w:val="single" w:sz="1" w:space="0" w:color="000000"/>
            </w:tcBorders>
          </w:tcPr>
          <w:p w14:paraId="4408621E" w14:textId="77777777" w:rsidR="00270D0B" w:rsidRDefault="00BB1727" w:rsidP="00BB1727">
            <w:pPr>
              <w:jc w:val="both"/>
            </w:pPr>
            <w:r>
              <w:t>3800</w:t>
            </w:r>
          </w:p>
        </w:tc>
        <w:tc>
          <w:tcPr>
            <w:tcW w:w="0" w:type="auto"/>
            <w:tcBorders>
              <w:top w:val="single" w:sz="1" w:space="0" w:color="000000"/>
              <w:bottom w:val="single" w:sz="1" w:space="0" w:color="000000"/>
            </w:tcBorders>
          </w:tcPr>
          <w:p w14:paraId="10A8F54A" w14:textId="77777777" w:rsidR="00270D0B" w:rsidRDefault="00BB1727" w:rsidP="00BB1727">
            <w:pPr>
              <w:jc w:val="both"/>
            </w:pPr>
            <w:r>
              <w:t>4000</w:t>
            </w:r>
          </w:p>
        </w:tc>
      </w:tr>
    </w:tbl>
    <w:p w14:paraId="170DBC8E" w14:textId="77777777" w:rsidR="00270D0B" w:rsidRDefault="00270D0B" w:rsidP="00BB1727">
      <w:pPr>
        <w:jc w:val="both"/>
      </w:pPr>
    </w:p>
    <w:p w14:paraId="05074831" w14:textId="70110876" w:rsidR="00270D0B" w:rsidRDefault="00EB2F37" w:rsidP="00BB1727">
      <w:pPr>
        <w:spacing w:after="280"/>
        <w:jc w:val="both"/>
      </w:pPr>
      <w:r>
        <w:rPr>
          <w:b/>
        </w:rPr>
        <w:tab/>
      </w:r>
      <w:r w:rsidR="00BB1727">
        <w:rPr>
          <w:b/>
        </w:rPr>
        <w:t>Tableau 3.1</w:t>
      </w:r>
      <w:r w:rsidR="00BB1727">
        <w:rPr>
          <w:rFonts w:eastAsia="Times New Roman" w:hAnsi="Times New Roman" w:cs="Times New Roman"/>
        </w:rPr>
        <w:t xml:space="preserve"> – Matrice de confusion pour une expérience sur le dépistage du cancer du col de l'utérus par frottis.</w:t>
      </w:r>
    </w:p>
    <w:p w14:paraId="0369208C" w14:textId="587E7ABF"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Les résultats d'une expérience menée sur 4 000 femmes âgées de 40 ans et plus sont présentés sur le tableau 3.1.</w:t>
      </w:r>
    </w:p>
    <w:p w14:paraId="73125CCB" w14:textId="0737D02D" w:rsidR="00270D0B" w:rsidRDefault="00EB2F37" w:rsidP="00BB1727">
      <w:pPr>
        <w:spacing w:after="280"/>
        <w:jc w:val="both"/>
      </w:pPr>
      <w:r>
        <w:tab/>
      </w:r>
      <w:r w:rsidR="00BB1727">
        <w:t xml:space="preserve">Le rappel est de </w:t>
      </w:r>
      <m:oMath>
        <m:f>
          <m:fPr>
            <m:ctrlPr>
              <w:rPr>
                <w:rFonts w:ascii="Cambria Math" w:hAnsi="Cambria Math"/>
              </w:rPr>
            </m:ctrlPr>
          </m:fPr>
          <m:num>
            <m:r>
              <m:rPr>
                <m:sty m:val="p"/>
              </m:rPr>
              <w:rPr>
                <w:rFonts w:ascii="Cambria Math" w:hAnsi="Cambria Math"/>
              </w:rPr>
              <m:t>190</m:t>
            </m:r>
          </m:num>
          <m:den>
            <m:r>
              <m:rPr>
                <m:sty m:val="p"/>
              </m:rPr>
              <w:rPr>
                <w:rFonts w:ascii="Cambria Math" w:hAnsi="Cambria Math"/>
              </w:rPr>
              <m:t>200</m:t>
            </m:r>
          </m:den>
        </m:f>
        <m:r>
          <m:rPr>
            <m:sty m:val="p"/>
          </m:rPr>
          <w:rPr>
            <w:rFonts w:ascii="Cambria Math" w:hAnsi="Cambria Math"/>
          </w:rPr>
          <m:t>=95%</m:t>
        </m:r>
      </m:oMath>
      <w:r w:rsidR="00BB1727">
        <w:rPr>
          <w:rFonts w:eastAsia="Times New Roman" w:hAnsi="Times New Roman" w:cs="Times New Roman"/>
        </w:rPr>
        <w:t xml:space="preserve">, la spécificité de </w:t>
      </w:r>
      <m:oMath>
        <m:f>
          <m:fPr>
            <m:ctrlPr>
              <w:rPr>
                <w:rFonts w:ascii="Cambria Math" w:hAnsi="Cambria Math"/>
              </w:rPr>
            </m:ctrlPr>
          </m:fPr>
          <m:num>
            <m:r>
              <m:rPr>
                <m:sty m:val="p"/>
              </m:rPr>
              <w:rPr>
                <w:rFonts w:ascii="Cambria Math" w:hAnsi="Cambria Math"/>
              </w:rPr>
              <m:t>3590</m:t>
            </m:r>
          </m:num>
          <m:den>
            <m:r>
              <m:rPr>
                <m:sty m:val="p"/>
              </m:rPr>
              <w:rPr>
                <w:rFonts w:ascii="Cambria Math" w:hAnsi="Cambria Math"/>
              </w:rPr>
              <m:t>3800</m:t>
            </m:r>
          </m:den>
        </m:f>
        <m:r>
          <m:rPr>
            <m:sty m:val="p"/>
          </m:rPr>
          <w:rPr>
            <w:rFonts w:ascii="Cambria Math" w:hAnsi="Cambria Math"/>
          </w:rPr>
          <m:t>≈94,5%</m:t>
        </m:r>
      </m:oMath>
      <w:r w:rsidR="00BB1727">
        <w:rPr>
          <w:rFonts w:eastAsia="Times New Roman" w:hAnsi="Times New Roman" w:cs="Times New Roman"/>
        </w:rPr>
        <w:t xml:space="preserve">, mais la précision ne vaut que </w:t>
      </w:r>
      <m:oMath>
        <m:f>
          <m:fPr>
            <m:ctrlPr>
              <w:rPr>
                <w:rFonts w:ascii="Cambria Math" w:hAnsi="Cambria Math"/>
              </w:rPr>
            </m:ctrlPr>
          </m:fPr>
          <m:num>
            <m:r>
              <m:rPr>
                <m:sty m:val="p"/>
              </m:rPr>
              <w:rPr>
                <w:rFonts w:ascii="Cambria Math" w:hAnsi="Cambria Math"/>
              </w:rPr>
              <m:t>190</m:t>
            </m:r>
          </m:num>
          <m:den>
            <m:r>
              <m:rPr>
                <m:sty m:val="p"/>
              </m:rPr>
              <w:rPr>
                <w:rFonts w:ascii="Cambria Math" w:hAnsi="Cambria Math"/>
              </w:rPr>
              <m:t>400</m:t>
            </m:r>
          </m:den>
        </m:f>
        <m:r>
          <m:rPr>
            <m:sty m:val="p"/>
          </m:rPr>
          <w:rPr>
            <w:rFonts w:ascii="Cambria Math" w:hAnsi="Cambria Math"/>
          </w:rPr>
          <m:t>=47,5%</m:t>
        </m:r>
      </m:oMath>
      <w:r w:rsidR="00BB1727">
        <w:rPr>
          <w:rFonts w:eastAsia="Times New Roman" w:hAnsi="Times New Roman" w:cs="Times New Roman"/>
        </w:rPr>
        <w:t>. En effet, ce test est un bon outil de dépistage : la probabilité de n'avoir effectivement pas de cancer quand le frottis est négatif est élevée (</w:t>
      </w:r>
      <m:oMath>
        <m:f>
          <m:fPr>
            <m:ctrlPr>
              <w:rPr>
                <w:rFonts w:ascii="Cambria Math" w:hAnsi="Cambria Math"/>
              </w:rPr>
            </m:ctrlPr>
          </m:fPr>
          <m:num>
            <m:r>
              <m:rPr>
                <m:sty m:val="p"/>
              </m:rPr>
              <w:rPr>
                <w:rFonts w:ascii="Cambria Math" w:hAnsi="Cambria Math"/>
              </w:rPr>
              <m:t>3590</m:t>
            </m:r>
          </m:num>
          <m:den>
            <m:r>
              <m:rPr>
                <m:sty m:val="p"/>
              </m:rPr>
              <w:rPr>
                <w:rFonts w:ascii="Cambria Math" w:hAnsi="Cambria Math"/>
              </w:rPr>
              <m:t>3600</m:t>
            </m:r>
          </m:den>
        </m:f>
        <m:r>
          <m:rPr>
            <m:sty m:val="p"/>
          </m:rPr>
          <w:rPr>
            <w:rFonts w:ascii="Cambria Math" w:hAnsi="Cambria Math"/>
          </w:rPr>
          <m:t>≈99,7%</m:t>
        </m:r>
      </m:oMath>
      <w:r w:rsidR="00BB1727">
        <w:rPr>
          <w:rFonts w:eastAsia="Times New Roman" w:hAnsi="Times New Roman" w:cs="Times New Roman"/>
        </w:rPr>
        <w:t>). Cependant, c'est un mauvais outil diagnostique, au sens où la probabilité de fausse alarme est très élevée.</w:t>
      </w:r>
    </w:p>
    <w:p w14:paraId="227ED1F5" w14:textId="77777777" w:rsidR="00270D0B" w:rsidRPr="00EB2F37" w:rsidRDefault="00BB1727" w:rsidP="00EB2F37">
      <w:pPr>
        <w:pStyle w:val="3"/>
        <w:spacing w:line="360" w:lineRule="auto"/>
        <w:jc w:val="both"/>
        <w:rPr>
          <w:rFonts w:ascii="Times New Roman" w:hAnsi="Times New Roman" w:cs="Times New Roman"/>
          <w:b/>
          <w:bCs/>
          <w:color w:val="auto"/>
          <w:sz w:val="26"/>
          <w:szCs w:val="26"/>
        </w:rPr>
      </w:pPr>
      <w:bookmarkStart w:id="14" w:name="bm_3_3_2_évaluation_de_méthodes_d_563640"/>
      <w:r w:rsidRPr="00EB2F37">
        <w:rPr>
          <w:rFonts w:ascii="Times New Roman" w:eastAsia="Times New Roman" w:hAnsi="Times New Roman" w:cs="Times New Roman"/>
          <w:b/>
          <w:bCs/>
          <w:color w:val="auto"/>
          <w:sz w:val="26"/>
          <w:szCs w:val="26"/>
        </w:rPr>
        <w:t>3.3.2 Évaluation de méthodes de classification binaire retournant un score</w:t>
      </w:r>
      <w:bookmarkEnd w:id="14"/>
    </w:p>
    <w:p w14:paraId="7649615E" w14:textId="139AD217"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De nombreux algorithmes de classification ne retournent pas directement une étiquette de classe, mais utilisent une </w:t>
      </w:r>
      <w:r w:rsidR="00BB1727">
        <w:rPr>
          <w:b/>
        </w:rPr>
        <w:t>fonction de d</w:t>
      </w:r>
      <w:r w:rsidR="00BB1727">
        <w:rPr>
          <w:b/>
        </w:rPr>
        <w:t>é</w:t>
      </w:r>
      <w:r w:rsidR="00BB1727">
        <w:rPr>
          <w:b/>
        </w:rPr>
        <w:t>cision</w:t>
      </w:r>
      <w:r w:rsidR="00BB1727">
        <w:rPr>
          <w:rFonts w:eastAsia="Times New Roman" w:hAnsi="Times New Roman" w:cs="Times New Roman"/>
        </w:rPr>
        <w:t xml:space="preserve"> qui doit ensuite être seuillée pour devenir une étiquette. Cette fonction de décision peut être un score arbitraire (par exemple, la proportion d'exemples positifs parmi les </w:t>
      </w:r>
      <m:oMath>
        <m:r>
          <w:rPr>
            <w:rFonts w:ascii="Cambria Math" w:hAnsi="Cambria Math"/>
          </w:rPr>
          <m:t>k</m:t>
        </m:r>
      </m:oMath>
      <w:r w:rsidR="00BB1727">
        <w:rPr>
          <w:rFonts w:eastAsia="Times New Roman" w:hAnsi="Times New Roman" w:cs="Times New Roman"/>
        </w:rPr>
        <w:t xml:space="preserve"> plus proches voisins du point à étiqueter – nous verrons l'algorithme des </w:t>
      </w:r>
      <m:oMath>
        <m:r>
          <w:rPr>
            <w:rFonts w:ascii="Cambria Math" w:hAnsi="Cambria Math"/>
          </w:rPr>
          <m:t>k</m:t>
        </m:r>
      </m:oMath>
      <w:r w:rsidR="00BB1727">
        <w:rPr>
          <w:rFonts w:eastAsia="Times New Roman" w:hAnsi="Times New Roman" w:cs="Times New Roman"/>
        </w:rPr>
        <w:t xml:space="preserve"> plus proches voisins en détails au chapitre 8) ou la probabilité d'appartenir à la classe positive (comme c'est par exemple le cas pour la régression logistique présentée à la section 5.3).</w:t>
      </w:r>
    </w:p>
    <w:p w14:paraId="78294A48" w14:textId="357A71C8"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Plusieurs critères permettent d'évaluer la qualité de la fonction de décision avant seuillage.</w:t>
      </w:r>
    </w:p>
    <w:p w14:paraId="6313A52A" w14:textId="77777777" w:rsidR="00270D0B" w:rsidRDefault="00BB1727" w:rsidP="00BB1727">
      <w:pPr>
        <w:spacing w:before="240" w:line="271" w:lineRule="auto"/>
        <w:jc w:val="both"/>
      </w:pPr>
      <w:bookmarkStart w:id="15" w:name="courbe_roc"/>
      <w:r>
        <w:rPr>
          <w:b/>
        </w:rPr>
        <w:lastRenderedPageBreak/>
        <w:t>Courbe ROC</w:t>
      </w:r>
      <w:bookmarkEnd w:id="15"/>
    </w:p>
    <w:p w14:paraId="03B42397" w14:textId="03985D46" w:rsidR="00270D0B" w:rsidRDefault="00EB2F37" w:rsidP="00BB1727">
      <w:pPr>
        <w:spacing w:after="280"/>
        <w:jc w:val="both"/>
      </w:pPr>
      <w:r>
        <w:rPr>
          <w:b/>
        </w:rPr>
        <w:tab/>
      </w:r>
      <w:r w:rsidR="00BB1727">
        <w:rPr>
          <w:b/>
        </w:rPr>
        <w:t>D</w:t>
      </w:r>
      <w:r w:rsidR="00BB1727">
        <w:rPr>
          <w:b/>
        </w:rPr>
        <w:t>é</w:t>
      </w:r>
      <w:r w:rsidR="00BB1727">
        <w:rPr>
          <w:b/>
        </w:rPr>
        <w:t>finition 3.14 (Courbe ROC)</w:t>
      </w:r>
      <w:r w:rsidR="00794959">
        <w:t xml:space="preserve"> </w:t>
      </w:r>
      <w:r w:rsidR="00BB1727">
        <w:t xml:space="preserve">On appelle </w:t>
      </w:r>
      <w:r w:rsidR="00BB1727">
        <w:rPr>
          <w:b/>
        </w:rPr>
        <w:t>courbe ROC</w:t>
      </w:r>
      <w:r w:rsidR="00BB1727">
        <w:t xml:space="preserve"> (de l'anglais </w:t>
      </w:r>
      <w:r>
        <w:tab/>
      </w:r>
      <w:proofErr w:type="spellStart"/>
      <w:r w:rsidR="00BB1727">
        <w:rPr>
          <w:i/>
        </w:rPr>
        <w:t>Receiver-Operator</w:t>
      </w:r>
      <w:proofErr w:type="spellEnd"/>
      <w:r w:rsidR="00BB1727">
        <w:rPr>
          <w:i/>
        </w:rPr>
        <w:t xml:space="preserve"> </w:t>
      </w:r>
      <w:proofErr w:type="spellStart"/>
      <w:r w:rsidR="00BB1727">
        <w:rPr>
          <w:i/>
        </w:rPr>
        <w:t>Characteristic</w:t>
      </w:r>
      <w:proofErr w:type="spellEnd"/>
      <w:r w:rsidR="00BB1727">
        <w:rPr>
          <w:rFonts w:eastAsia="Times New Roman" w:hAnsi="Times New Roman" w:cs="Times New Roman"/>
        </w:rPr>
        <w:t xml:space="preserve">) la courbe décrivant l'évolution de la sensibilité (TPR) en fonction du complémentaire à 1 de la spécificité (FPR), parfois appelé </w:t>
      </w:r>
      <w:proofErr w:type="spellStart"/>
      <w:r w:rsidR="00BB1727">
        <w:rPr>
          <w:b/>
        </w:rPr>
        <w:t>antisp</w:t>
      </w:r>
      <w:r w:rsidR="00BB1727">
        <w:rPr>
          <w:b/>
        </w:rPr>
        <w:t>é</w:t>
      </w:r>
      <w:r w:rsidR="00BB1727">
        <w:rPr>
          <w:b/>
        </w:rPr>
        <w:t>cificit</w:t>
      </w:r>
      <w:r w:rsidR="00BB1727">
        <w:rPr>
          <w:b/>
        </w:rPr>
        <w:t>é</w:t>
      </w:r>
      <w:proofErr w:type="spellEnd"/>
      <w:r w:rsidR="00BB1727">
        <w:rPr>
          <w:rFonts w:eastAsia="Times New Roman" w:hAnsi="Times New Roman" w:cs="Times New Roman"/>
        </w:rPr>
        <w:t>, lorsque le seuil de décision change.</w:t>
      </w:r>
    </w:p>
    <w:p w14:paraId="30C5F77A" w14:textId="073EF809"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Le terme vient des télécommunications, où ces courbes servent à étudier si un système arrive à séparer le signal du bruit de fond.</w:t>
      </w:r>
    </w:p>
    <w:p w14:paraId="35B3CFD3" w14:textId="15BE2E30"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On peut synthétiser une courbe ROC par </w:t>
      </w:r>
      <w:r w:rsidR="00BB1727">
        <w:rPr>
          <w:b/>
        </w:rPr>
        <w:t>l'aire sous cette courbe</w:t>
      </w:r>
      <w:r w:rsidR="00BB1727">
        <w:rPr>
          <w:rFonts w:eastAsia="Times New Roman" w:hAnsi="Times New Roman" w:cs="Times New Roman"/>
        </w:rPr>
        <w:t xml:space="preserve">, souvent abrégée </w:t>
      </w:r>
      <w:r w:rsidR="00BB1727">
        <w:rPr>
          <w:b/>
        </w:rPr>
        <w:t>AUROC</w:t>
      </w:r>
      <w:r w:rsidR="00BB1727">
        <w:t xml:space="preserve"> (Area Under the ROC).</w:t>
      </w:r>
    </w:p>
    <w:p w14:paraId="4E389696" w14:textId="3BFEB4C4"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Un exemple de courbe ROC est présenté sur la figure 3.3. Le point </w:t>
      </w:r>
      <m:oMath>
        <m:r>
          <m:rPr>
            <m:sty m:val="p"/>
          </m:rPr>
          <w:rPr>
            <w:rFonts w:ascii="Cambria Math" w:hAnsi="Cambria Math"/>
          </w:rPr>
          <m:t>(0,0)</m:t>
        </m:r>
      </m:oMath>
      <w:r w:rsidR="00BB1727">
        <w:rPr>
          <w:rFonts w:eastAsia="Times New Roman" w:hAnsi="Times New Roman" w:cs="Times New Roman"/>
        </w:rPr>
        <w:t xml:space="preserve"> apparaît quand on utilise comme seuil un nombre supérieur à la plus grande valeur retournée par la fonction de décision : ainsi, tous les exemples sont étiquetés négatifs. À l'inverse, le point </w:t>
      </w:r>
      <m:oMath>
        <m:r>
          <m:rPr>
            <m:sty m:val="p"/>
          </m:rPr>
          <w:rPr>
            <w:rFonts w:ascii="Cambria Math" w:hAnsi="Cambria Math"/>
          </w:rPr>
          <m:t>(1,1)</m:t>
        </m:r>
      </m:oMath>
      <w:r w:rsidR="00BB1727">
        <w:rPr>
          <w:rFonts w:eastAsia="Times New Roman" w:hAnsi="Times New Roman" w:cs="Times New Roman"/>
        </w:rPr>
        <w:t xml:space="preserve"> apparaît quand on utilise pour seuil une valeur inférieure au plus petit score retourné par la fonction de décision : tous les exemples sont alors étiquetés positifs.</w:t>
      </w:r>
    </w:p>
    <w:p w14:paraId="6BF5D686" w14:textId="35698810" w:rsidR="00794959" w:rsidRDefault="00EB2F37" w:rsidP="00BB1727">
      <w:pPr>
        <w:spacing w:after="280"/>
        <w:jc w:val="both"/>
        <w:rPr>
          <w:rFonts w:eastAsia="Times New Roman" w:hAnsi="Times New Roman" w:cs="Times New Roman"/>
        </w:rPr>
      </w:pPr>
      <w:r>
        <w:rPr>
          <w:rFonts w:eastAsia="Times New Roman" w:hAnsi="Times New Roman" w:cs="Times New Roman"/>
        </w:rPr>
        <w:tab/>
      </w:r>
      <w:r w:rsidR="00BB1727">
        <w:rPr>
          <w:rFonts w:eastAsia="Times New Roman" w:hAnsi="Times New Roman" w:cs="Times New Roman"/>
        </w:rPr>
        <w:t xml:space="preserve">Pour construire la courbe ROC, on prend pour seuil les valeurs successives de la fonction de décision sur notre jeu de données. Ainsi, à chaque nouvelle valeur de seuil, une observation que l'on prédisait précédemment négative change d'étiquette. Si cette observation est effectivement positive, la sensibilité </w:t>
      </w:r>
    </w:p>
    <w:p w14:paraId="5133D14F" w14:textId="77777777" w:rsidR="00794959" w:rsidRDefault="00794959" w:rsidP="00794959">
      <w:pPr>
        <w:tabs>
          <w:tab w:val="left" w:pos="900"/>
        </w:tabs>
        <w:spacing w:after="280"/>
        <w:jc w:val="both"/>
        <w:rPr>
          <w:rFonts w:eastAsia="Times New Roman" w:hAnsi="Times New Roman" w:cs="Times New Roman"/>
        </w:rPr>
      </w:pPr>
      <w:r>
        <w:rPr>
          <w:rFonts w:eastAsia="Times New Roman" w:hAnsi="Times New Roman" w:cs="Times New Roman"/>
        </w:rPr>
        <w:lastRenderedPageBreak/>
        <w:tab/>
      </w:r>
      <w:r w:rsidRPr="00794959">
        <w:rPr>
          <w:rFonts w:eastAsia="Times New Roman" w:hAnsi="Times New Roman" w:cs="Times New Roman"/>
          <w:noProof/>
        </w:rPr>
        <w:drawing>
          <wp:inline distT="0" distB="0" distL="0" distR="0" wp14:anchorId="0C3E74A0" wp14:editId="530CCA8F">
            <wp:extent cx="5334744" cy="321989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34744" cy="3219899"/>
                    </a:xfrm>
                    <a:prstGeom prst="rect">
                      <a:avLst/>
                    </a:prstGeom>
                  </pic:spPr>
                </pic:pic>
              </a:graphicData>
            </a:graphic>
          </wp:inline>
        </w:drawing>
      </w:r>
    </w:p>
    <w:p w14:paraId="4BF19CA4" w14:textId="77777777" w:rsidR="00270D0B" w:rsidRDefault="00BB1727" w:rsidP="00BB1727">
      <w:pPr>
        <w:spacing w:after="280"/>
        <w:jc w:val="both"/>
      </w:pPr>
      <w:r>
        <w:rPr>
          <w:rFonts w:eastAsia="Times New Roman" w:hAnsi="Times New Roman" w:cs="Times New Roman"/>
        </w:rPr>
        <w:t xml:space="preserve">augmente de </w:t>
      </w:r>
      <m:oMath>
        <m:r>
          <m:rPr>
            <m:sty m:val="p"/>
          </m:rPr>
          <w:rPr>
            <w:rFonts w:ascii="Cambria Math" w:hAnsi="Cambria Math"/>
          </w:rPr>
          <m:t>1/</m:t>
        </m:r>
        <m:sSub>
          <m:sSubPr>
            <m:ctrlPr>
              <w:rPr>
                <w:rFonts w:ascii="Cambria Math" w:hAnsi="Cambria Math"/>
              </w:rPr>
            </m:ctrlPr>
          </m:sSubPr>
          <m:e>
            <m:r>
              <w:rPr>
                <w:rFonts w:ascii="Cambria Math" w:hAnsi="Cambria Math"/>
              </w:rPr>
              <m:t>n</m:t>
            </m:r>
          </m:e>
          <m:sub>
            <m:r>
              <w:rPr>
                <w:rFonts w:ascii="Cambria Math" w:hAnsi="Cambria Math"/>
              </w:rPr>
              <m:t>p</m:t>
            </m:r>
          </m:sub>
        </m:sSub>
      </m:oMath>
      <w:r>
        <w:rPr>
          <w:rFonts w:eastAsia="Times New Roman" w:hAnsi="Times New Roman" w:cs="Times New Roman"/>
        </w:rPr>
        <w:t xml:space="preserve"> (où </w:t>
      </w:r>
      <m:oMath>
        <m:sSub>
          <m:sSubPr>
            <m:ctrlPr>
              <w:rPr>
                <w:rFonts w:ascii="Cambria Math" w:hAnsi="Cambria Math"/>
              </w:rPr>
            </m:ctrlPr>
          </m:sSubPr>
          <m:e>
            <m:r>
              <w:rPr>
                <w:rFonts w:ascii="Cambria Math" w:hAnsi="Cambria Math"/>
              </w:rPr>
              <m:t>n</m:t>
            </m:r>
          </m:e>
          <m:sub>
            <m:r>
              <w:rPr>
                <w:rFonts w:ascii="Cambria Math" w:hAnsi="Cambria Math"/>
              </w:rPr>
              <m:t>p</m:t>
            </m:r>
          </m:sub>
        </m:sSub>
      </m:oMath>
      <w:r>
        <w:rPr>
          <w:rFonts w:eastAsia="Times New Roman" w:hAnsi="Times New Roman" w:cs="Times New Roman"/>
        </w:rPr>
        <w:t xml:space="preserve"> est le nombre d'exemples positifs) ; sinon, c'est l'antispécificité qui augmente de </w:t>
      </w:r>
      <m:oMath>
        <m:r>
          <m:rPr>
            <m:sty m:val="p"/>
          </m:rPr>
          <w:rPr>
            <w:rFonts w:ascii="Cambria Math" w:hAnsi="Cambria Math"/>
          </w:rPr>
          <m:t>1/</m:t>
        </m:r>
        <m:sSub>
          <m:sSubPr>
            <m:ctrlPr>
              <w:rPr>
                <w:rFonts w:ascii="Cambria Math" w:hAnsi="Cambria Math"/>
              </w:rPr>
            </m:ctrlPr>
          </m:sSubPr>
          <m:e>
            <m:r>
              <w:rPr>
                <w:rFonts w:ascii="Cambria Math" w:hAnsi="Cambria Math"/>
              </w:rPr>
              <m:t>n</m:t>
            </m:r>
          </m:e>
          <m:sub>
            <m:r>
              <w:rPr>
                <w:rFonts w:ascii="Cambria Math" w:hAnsi="Cambria Math"/>
              </w:rPr>
              <m:t>n</m:t>
            </m:r>
          </m:sub>
        </m:sSub>
      </m:oMath>
      <w:r>
        <w:rPr>
          <w:rFonts w:eastAsia="Times New Roman" w:hAnsi="Times New Roman" w:cs="Times New Roman"/>
        </w:rPr>
        <w:t xml:space="preserve">, où </w:t>
      </w:r>
      <m:oMath>
        <m:sSub>
          <m:sSubPr>
            <m:ctrlPr>
              <w:rPr>
                <w:rFonts w:ascii="Cambria Math" w:hAnsi="Cambria Math"/>
              </w:rPr>
            </m:ctrlPr>
          </m:sSubPr>
          <m:e>
            <m:r>
              <w:rPr>
                <w:rFonts w:ascii="Cambria Math" w:hAnsi="Cambria Math"/>
              </w:rPr>
              <m:t>n</m:t>
            </m:r>
          </m:e>
          <m:sub>
            <m:r>
              <w:rPr>
                <w:rFonts w:ascii="Cambria Math" w:hAnsi="Cambria Math"/>
              </w:rPr>
              <m:t>n</m:t>
            </m:r>
          </m:sub>
        </m:sSub>
      </m:oMath>
      <w:r>
        <w:rPr>
          <w:rFonts w:eastAsia="Times New Roman" w:hAnsi="Times New Roman" w:cs="Times New Roman"/>
        </w:rPr>
        <w:t xml:space="preserve"> est le nombre d'exemples négatifs. La courbe ROC est donc une courbe en escaliers.</w:t>
      </w:r>
    </w:p>
    <w:p w14:paraId="0F130A5C" w14:textId="2C95A4E1"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Un classifieur idéal, qui ne commet aucune erreur, associe systématiquement des scores plus faibles aux exemples négatifs qu'aux exemples positifs. Sa courbe ROC suit donc le coin supérieur gauche du carré </w:t>
      </w:r>
      <m:oMath>
        <m:r>
          <m:rPr>
            <m:sty m:val="p"/>
          </m:rPr>
          <w:rPr>
            <w:rFonts w:ascii="Cambria Math" w:hAnsi="Cambria Math"/>
          </w:rPr>
          <m:t>[0,1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w:r w:rsidR="00BB1727">
        <w:t xml:space="preserve"> ; il a une aire sous la courbe de 1.</w:t>
      </w:r>
    </w:p>
    <w:p w14:paraId="68812989" w14:textId="03E32821"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La courbe ROC d'un classifieur aléatoire, qui fera sensiblement la même proportion d'erreurs que de classifications correctes quel que soit le seuil utilisé, suit la diagonale de ce carré. L'aire sous la courbe ROC d'un classifieur aléatoire vaut donc 0,5.</w:t>
      </w:r>
    </w:p>
    <w:p w14:paraId="3E235CDD" w14:textId="77777777" w:rsidR="00270D0B" w:rsidRDefault="00BB1727" w:rsidP="00EB2F37">
      <w:pPr>
        <w:spacing w:after="0"/>
        <w:jc w:val="both"/>
      </w:pPr>
      <w:r>
        <w:rPr>
          <w:rFonts w:eastAsia="Times New Roman" w:hAnsi="Times New Roman" w:cs="Times New Roman"/>
        </w:rPr>
        <w:t>Pour illustrer la construction d'une courbe ROC, prenons l'exemple décrit sur le tableau 3.2.</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336"/>
        <w:gridCol w:w="674"/>
        <w:gridCol w:w="672"/>
        <w:gridCol w:w="672"/>
        <w:gridCol w:w="672"/>
        <w:gridCol w:w="672"/>
        <w:gridCol w:w="675"/>
      </w:tblGrid>
      <w:tr w:rsidR="00270D0B" w14:paraId="7F7BF698" w14:textId="77777777">
        <w:trPr>
          <w:cantSplit/>
          <w:tblCellSpacing w:w="0" w:type="dxa"/>
          <w:jc w:val="center"/>
        </w:trPr>
        <w:tc>
          <w:tcPr>
            <w:tcW w:w="0" w:type="auto"/>
            <w:tcBorders>
              <w:top w:val="single" w:sz="1" w:space="0" w:color="000000"/>
              <w:bottom w:val="single" w:sz="1" w:space="0" w:color="000000"/>
            </w:tcBorders>
          </w:tcPr>
          <w:p w14:paraId="6DAE59EE" w14:textId="77777777" w:rsidR="00270D0B" w:rsidRDefault="00BB1727" w:rsidP="00BB1727">
            <w:pPr>
              <w:jc w:val="both"/>
            </w:pPr>
            <w:r>
              <w:rPr>
                <w:rFonts w:eastAsia="Times New Roman" w:hAnsi="Times New Roman" w:cs="Times New Roman"/>
              </w:rPr>
              <w:t>Étiquette</w:t>
            </w:r>
          </w:p>
        </w:tc>
        <w:tc>
          <w:tcPr>
            <w:tcW w:w="0" w:type="auto"/>
            <w:tcBorders>
              <w:top w:val="single" w:sz="1" w:space="0" w:color="000000"/>
              <w:left w:val="single" w:sz="1" w:space="0" w:color="000000"/>
              <w:bottom w:val="single" w:sz="1" w:space="0" w:color="000000"/>
              <w:right w:val="single" w:sz="1" w:space="0" w:color="000000"/>
            </w:tcBorders>
          </w:tcPr>
          <w:p w14:paraId="54BD02E2" w14:textId="77777777" w:rsidR="00270D0B" w:rsidRDefault="00BB1727" w:rsidP="00BB1727">
            <w:pPr>
              <w:jc w:val="both"/>
            </w:pPr>
            <w:r>
              <w:t>+</w:t>
            </w:r>
          </w:p>
        </w:tc>
        <w:tc>
          <w:tcPr>
            <w:tcW w:w="0" w:type="auto"/>
            <w:tcBorders>
              <w:top w:val="single" w:sz="1" w:space="0" w:color="000000"/>
              <w:bottom w:val="single" w:sz="1" w:space="0" w:color="000000"/>
              <w:right w:val="single" w:sz="1" w:space="0" w:color="000000"/>
            </w:tcBorders>
          </w:tcPr>
          <w:p w14:paraId="72248904" w14:textId="77777777" w:rsidR="00270D0B" w:rsidRDefault="00BB1727" w:rsidP="00BB1727">
            <w:pPr>
              <w:jc w:val="both"/>
            </w:pPr>
            <w:r>
              <w:t>-</w:t>
            </w:r>
          </w:p>
        </w:tc>
        <w:tc>
          <w:tcPr>
            <w:tcW w:w="0" w:type="auto"/>
            <w:tcBorders>
              <w:top w:val="single" w:sz="1" w:space="0" w:color="000000"/>
              <w:bottom w:val="single" w:sz="1" w:space="0" w:color="000000"/>
              <w:right w:val="single" w:sz="1" w:space="0" w:color="000000"/>
            </w:tcBorders>
          </w:tcPr>
          <w:p w14:paraId="7EA95463" w14:textId="77777777" w:rsidR="00270D0B" w:rsidRDefault="00BB1727" w:rsidP="00BB1727">
            <w:pPr>
              <w:jc w:val="both"/>
            </w:pPr>
            <w:r>
              <w:t>+</w:t>
            </w:r>
          </w:p>
        </w:tc>
        <w:tc>
          <w:tcPr>
            <w:tcW w:w="0" w:type="auto"/>
            <w:tcBorders>
              <w:top w:val="single" w:sz="1" w:space="0" w:color="000000"/>
              <w:bottom w:val="single" w:sz="1" w:space="0" w:color="000000"/>
              <w:right w:val="single" w:sz="1" w:space="0" w:color="000000"/>
            </w:tcBorders>
          </w:tcPr>
          <w:p w14:paraId="41175692" w14:textId="77777777" w:rsidR="00270D0B" w:rsidRDefault="00BB1727" w:rsidP="00BB1727">
            <w:pPr>
              <w:jc w:val="both"/>
            </w:pPr>
            <w:r>
              <w:t>+</w:t>
            </w:r>
          </w:p>
        </w:tc>
        <w:tc>
          <w:tcPr>
            <w:tcW w:w="0" w:type="auto"/>
            <w:tcBorders>
              <w:top w:val="single" w:sz="1" w:space="0" w:color="000000"/>
              <w:bottom w:val="single" w:sz="1" w:space="0" w:color="000000"/>
              <w:right w:val="single" w:sz="1" w:space="0" w:color="000000"/>
            </w:tcBorders>
          </w:tcPr>
          <w:p w14:paraId="3760FB94" w14:textId="77777777" w:rsidR="00270D0B" w:rsidRDefault="00BB1727" w:rsidP="00BB1727">
            <w:pPr>
              <w:jc w:val="both"/>
            </w:pPr>
            <w:r>
              <w:t>-</w:t>
            </w:r>
          </w:p>
        </w:tc>
        <w:tc>
          <w:tcPr>
            <w:tcW w:w="0" w:type="auto"/>
            <w:tcBorders>
              <w:top w:val="single" w:sz="1" w:space="0" w:color="000000"/>
              <w:bottom w:val="single" w:sz="1" w:space="0" w:color="000000"/>
            </w:tcBorders>
          </w:tcPr>
          <w:p w14:paraId="1EA01CC2" w14:textId="77777777" w:rsidR="00270D0B" w:rsidRDefault="00BB1727" w:rsidP="00BB1727">
            <w:pPr>
              <w:jc w:val="both"/>
            </w:pPr>
            <w:r>
              <w:t>-</w:t>
            </w:r>
          </w:p>
        </w:tc>
      </w:tr>
      <w:tr w:rsidR="00270D0B" w14:paraId="4CB92515" w14:textId="77777777">
        <w:trPr>
          <w:cantSplit/>
          <w:tblCellSpacing w:w="0" w:type="dxa"/>
          <w:jc w:val="center"/>
        </w:trPr>
        <w:tc>
          <w:tcPr>
            <w:tcW w:w="0" w:type="auto"/>
            <w:tcBorders>
              <w:top w:val="single" w:sz="1" w:space="0" w:color="000000"/>
              <w:bottom w:val="single" w:sz="1" w:space="0" w:color="000000"/>
            </w:tcBorders>
          </w:tcPr>
          <w:p w14:paraId="51B0274B" w14:textId="77777777" w:rsidR="00270D0B" w:rsidRDefault="00BB1727" w:rsidP="00BB1727">
            <w:pPr>
              <w:jc w:val="both"/>
            </w:pPr>
            <w:r>
              <w:t>Score</w:t>
            </w:r>
          </w:p>
        </w:tc>
        <w:tc>
          <w:tcPr>
            <w:tcW w:w="0" w:type="auto"/>
            <w:tcBorders>
              <w:top w:val="single" w:sz="1" w:space="0" w:color="000000"/>
              <w:left w:val="single" w:sz="1" w:space="0" w:color="000000"/>
              <w:bottom w:val="single" w:sz="1" w:space="0" w:color="000000"/>
              <w:right w:val="single" w:sz="1" w:space="0" w:color="000000"/>
            </w:tcBorders>
          </w:tcPr>
          <w:p w14:paraId="6DE04EAC" w14:textId="77777777" w:rsidR="00270D0B" w:rsidRDefault="00BB1727" w:rsidP="00BB1727">
            <w:pPr>
              <w:jc w:val="both"/>
            </w:pPr>
            <w:r>
              <w:t>0,9</w:t>
            </w:r>
          </w:p>
        </w:tc>
        <w:tc>
          <w:tcPr>
            <w:tcW w:w="0" w:type="auto"/>
            <w:tcBorders>
              <w:top w:val="single" w:sz="1" w:space="0" w:color="000000"/>
              <w:bottom w:val="single" w:sz="1" w:space="0" w:color="000000"/>
              <w:right w:val="single" w:sz="1" w:space="0" w:color="000000"/>
            </w:tcBorders>
          </w:tcPr>
          <w:p w14:paraId="513701F0" w14:textId="77777777" w:rsidR="00270D0B" w:rsidRDefault="00BB1727" w:rsidP="00BB1727">
            <w:pPr>
              <w:jc w:val="both"/>
            </w:pPr>
            <w:r>
              <w:t>0,8</w:t>
            </w:r>
          </w:p>
        </w:tc>
        <w:tc>
          <w:tcPr>
            <w:tcW w:w="0" w:type="auto"/>
            <w:tcBorders>
              <w:top w:val="single" w:sz="1" w:space="0" w:color="000000"/>
              <w:bottom w:val="single" w:sz="1" w:space="0" w:color="000000"/>
              <w:right w:val="single" w:sz="1" w:space="0" w:color="000000"/>
            </w:tcBorders>
          </w:tcPr>
          <w:p w14:paraId="46522BEE" w14:textId="77777777" w:rsidR="00270D0B" w:rsidRDefault="00BB1727" w:rsidP="00BB1727">
            <w:pPr>
              <w:jc w:val="both"/>
            </w:pPr>
            <w:r>
              <w:t>0,6</w:t>
            </w:r>
          </w:p>
        </w:tc>
        <w:tc>
          <w:tcPr>
            <w:tcW w:w="0" w:type="auto"/>
            <w:tcBorders>
              <w:top w:val="single" w:sz="1" w:space="0" w:color="000000"/>
              <w:bottom w:val="single" w:sz="1" w:space="0" w:color="000000"/>
              <w:right w:val="single" w:sz="1" w:space="0" w:color="000000"/>
            </w:tcBorders>
          </w:tcPr>
          <w:p w14:paraId="596C17D6" w14:textId="77777777" w:rsidR="00270D0B" w:rsidRDefault="00BB1727" w:rsidP="00BB1727">
            <w:pPr>
              <w:jc w:val="both"/>
            </w:pPr>
            <w:r>
              <w:t>0,4</w:t>
            </w:r>
          </w:p>
        </w:tc>
        <w:tc>
          <w:tcPr>
            <w:tcW w:w="0" w:type="auto"/>
            <w:tcBorders>
              <w:top w:val="single" w:sz="1" w:space="0" w:color="000000"/>
              <w:bottom w:val="single" w:sz="1" w:space="0" w:color="000000"/>
              <w:right w:val="single" w:sz="1" w:space="0" w:color="000000"/>
            </w:tcBorders>
          </w:tcPr>
          <w:p w14:paraId="22DB466F" w14:textId="77777777" w:rsidR="00270D0B" w:rsidRDefault="00BB1727" w:rsidP="00BB1727">
            <w:pPr>
              <w:jc w:val="both"/>
            </w:pPr>
            <w:r>
              <w:t>0,3</w:t>
            </w:r>
          </w:p>
        </w:tc>
        <w:tc>
          <w:tcPr>
            <w:tcW w:w="0" w:type="auto"/>
            <w:tcBorders>
              <w:top w:val="single" w:sz="1" w:space="0" w:color="000000"/>
              <w:bottom w:val="single" w:sz="1" w:space="0" w:color="000000"/>
            </w:tcBorders>
          </w:tcPr>
          <w:p w14:paraId="5129D40F" w14:textId="77777777" w:rsidR="00270D0B" w:rsidRDefault="00BB1727" w:rsidP="00BB1727">
            <w:pPr>
              <w:jc w:val="both"/>
            </w:pPr>
            <w:r>
              <w:t>0,1</w:t>
            </w:r>
          </w:p>
        </w:tc>
      </w:tr>
    </w:tbl>
    <w:p w14:paraId="75D0641A" w14:textId="77777777" w:rsidR="00270D0B" w:rsidRDefault="00270D0B" w:rsidP="00BB1727">
      <w:pPr>
        <w:jc w:val="both"/>
      </w:pPr>
    </w:p>
    <w:p w14:paraId="569D329A" w14:textId="3C872C0A" w:rsidR="00270D0B" w:rsidRDefault="00EB2F37" w:rsidP="00BB1727">
      <w:pPr>
        <w:spacing w:after="280"/>
        <w:jc w:val="both"/>
      </w:pPr>
      <w:r>
        <w:rPr>
          <w:b/>
        </w:rPr>
        <w:tab/>
      </w:r>
      <w:r w:rsidR="00BB1727">
        <w:rPr>
          <w:b/>
        </w:rPr>
        <w:t>Tableau 3.2</w:t>
      </w:r>
      <w:r w:rsidR="00BB1727">
        <w:rPr>
          <w:rFonts w:eastAsia="Times New Roman" w:hAnsi="Times New Roman" w:cs="Times New Roman"/>
        </w:rPr>
        <w:t xml:space="preserve"> – Exemple de résultats d'une expérience de classification binaire, évaluée sur 6 échantillons.</w:t>
      </w:r>
    </w:p>
    <w:p w14:paraId="67AB3335" w14:textId="209BFF2F" w:rsidR="00270D0B" w:rsidRDefault="00EB2F37" w:rsidP="00BB1727">
      <w:pPr>
        <w:spacing w:after="280"/>
        <w:jc w:val="both"/>
      </w:pPr>
      <w:r>
        <w:rPr>
          <w:rFonts w:eastAsia="Times New Roman" w:hAnsi="Times New Roman" w:cs="Times New Roman"/>
        </w:rPr>
        <w:lastRenderedPageBreak/>
        <w:tab/>
      </w:r>
      <w:r w:rsidR="00BB1727">
        <w:rPr>
          <w:rFonts w:eastAsia="Times New Roman" w:hAnsi="Times New Roman" w:cs="Times New Roman"/>
        </w:rPr>
        <w:t xml:space="preserve">Pour un seuil supérieur à 0,9, les 6 exemples sont étiquetés négatifs. On commence donc par le point </w:t>
      </w:r>
      <m:oMath>
        <m:r>
          <m:rPr>
            <m:sty m:val="p"/>
          </m:rPr>
          <w:rPr>
            <w:rFonts w:ascii="Cambria Math" w:hAnsi="Cambria Math"/>
          </w:rPr>
          <m:t>(0,0)</m:t>
        </m:r>
      </m:oMath>
      <w:r w:rsidR="00BB1727">
        <w:rPr>
          <w:rFonts w:eastAsia="Times New Roman" w:hAnsi="Times New Roman" w:cs="Times New Roman"/>
        </w:rPr>
        <w:t xml:space="preserve">. Pour un seuil compris entre 0,9 et 0,8 (exclu), seule la première observation est étiquetée positive. La sensibilité est donc de </w:t>
      </w:r>
      <m:oMath>
        <m:r>
          <m:rPr>
            <m:sty m:val="p"/>
          </m:rPr>
          <w:rPr>
            <w:rFonts w:ascii="Cambria Math" w:hAnsi="Cambria Math"/>
          </w:rPr>
          <m:t>1/3</m:t>
        </m:r>
      </m:oMath>
      <w:r w:rsidR="00BB1727">
        <w:rPr>
          <w:rFonts w:eastAsia="Times New Roman" w:hAnsi="Times New Roman" w:cs="Times New Roman"/>
        </w:rPr>
        <w:t xml:space="preserve"> tandis que l'</w:t>
      </w:r>
      <w:proofErr w:type="spellStart"/>
      <w:r w:rsidR="00BB1727">
        <w:rPr>
          <w:rFonts w:eastAsia="Times New Roman" w:hAnsi="Times New Roman" w:cs="Times New Roman"/>
        </w:rPr>
        <w:t>antispécificité</w:t>
      </w:r>
      <w:proofErr w:type="spellEnd"/>
      <w:r w:rsidR="00BB1727">
        <w:rPr>
          <w:rFonts w:eastAsia="Times New Roman" w:hAnsi="Times New Roman" w:cs="Times New Roman"/>
        </w:rPr>
        <w:t xml:space="preserve"> reste nulle. On peut continuer ainsi jusqu'à utiliser un seuil inférieur à 0,1 :</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901"/>
        <w:gridCol w:w="902"/>
        <w:gridCol w:w="1162"/>
        <w:gridCol w:w="1162"/>
        <w:gridCol w:w="1162"/>
        <w:gridCol w:w="1162"/>
        <w:gridCol w:w="1162"/>
        <w:gridCol w:w="903"/>
      </w:tblGrid>
      <w:tr w:rsidR="00270D0B" w14:paraId="44699FD2" w14:textId="77777777">
        <w:trPr>
          <w:cantSplit/>
          <w:tblCellSpacing w:w="0" w:type="dxa"/>
          <w:jc w:val="center"/>
        </w:trPr>
        <w:tc>
          <w:tcPr>
            <w:tcW w:w="0" w:type="auto"/>
            <w:tcBorders>
              <w:top w:val="single" w:sz="1" w:space="0" w:color="000000"/>
              <w:bottom w:val="single" w:sz="1" w:space="0" w:color="000000"/>
            </w:tcBorders>
          </w:tcPr>
          <w:p w14:paraId="2DD85C5C" w14:textId="77777777" w:rsidR="00270D0B" w:rsidRDefault="00BB1727" w:rsidP="00BB1727">
            <w:pPr>
              <w:jc w:val="both"/>
            </w:pPr>
            <w:r>
              <w:t>Seuil</w:t>
            </w:r>
          </w:p>
        </w:tc>
        <w:tc>
          <w:tcPr>
            <w:tcW w:w="0" w:type="auto"/>
            <w:tcBorders>
              <w:top w:val="single" w:sz="1" w:space="0" w:color="000000"/>
              <w:left w:val="single" w:sz="1" w:space="0" w:color="000000"/>
              <w:bottom w:val="single" w:sz="1" w:space="0" w:color="000000"/>
              <w:right w:val="single" w:sz="1" w:space="0" w:color="000000"/>
            </w:tcBorders>
          </w:tcPr>
          <w:p w14:paraId="605C02AC" w14:textId="77777777" w:rsidR="00270D0B" w:rsidRDefault="00BB1727" w:rsidP="00BB1727">
            <w:pPr>
              <w:jc w:val="both"/>
            </w:pPr>
            <w:r>
              <w:t>&gt; 0,9</w:t>
            </w:r>
          </w:p>
        </w:tc>
        <w:tc>
          <w:tcPr>
            <w:tcW w:w="0" w:type="auto"/>
            <w:tcBorders>
              <w:top w:val="single" w:sz="1" w:space="0" w:color="000000"/>
              <w:bottom w:val="single" w:sz="1" w:space="0" w:color="000000"/>
              <w:right w:val="single" w:sz="1" w:space="0" w:color="000000"/>
            </w:tcBorders>
          </w:tcPr>
          <w:p w14:paraId="44DF64BD" w14:textId="77777777" w:rsidR="00270D0B" w:rsidRDefault="00BB1727" w:rsidP="00BB1727">
            <w:pPr>
              <w:jc w:val="both"/>
            </w:pPr>
            <w:r>
              <w:rPr>
                <w:rFonts w:eastAsia="Times New Roman" w:hAnsi="Times New Roman" w:cs="Times New Roman"/>
              </w:rPr>
              <w:t>0,8–0,9</w:t>
            </w:r>
          </w:p>
        </w:tc>
        <w:tc>
          <w:tcPr>
            <w:tcW w:w="0" w:type="auto"/>
            <w:tcBorders>
              <w:top w:val="single" w:sz="1" w:space="0" w:color="000000"/>
              <w:bottom w:val="single" w:sz="1" w:space="0" w:color="000000"/>
              <w:right w:val="single" w:sz="1" w:space="0" w:color="000000"/>
            </w:tcBorders>
          </w:tcPr>
          <w:p w14:paraId="492881D9" w14:textId="77777777" w:rsidR="00270D0B" w:rsidRDefault="00BB1727" w:rsidP="00BB1727">
            <w:pPr>
              <w:jc w:val="both"/>
            </w:pPr>
            <w:r>
              <w:rPr>
                <w:rFonts w:eastAsia="Times New Roman" w:hAnsi="Times New Roman" w:cs="Times New Roman"/>
              </w:rPr>
              <w:t>0,6–0,8</w:t>
            </w:r>
          </w:p>
        </w:tc>
        <w:tc>
          <w:tcPr>
            <w:tcW w:w="0" w:type="auto"/>
            <w:tcBorders>
              <w:top w:val="single" w:sz="1" w:space="0" w:color="000000"/>
              <w:bottom w:val="single" w:sz="1" w:space="0" w:color="000000"/>
              <w:right w:val="single" w:sz="1" w:space="0" w:color="000000"/>
            </w:tcBorders>
          </w:tcPr>
          <w:p w14:paraId="320A3DD8" w14:textId="77777777" w:rsidR="00270D0B" w:rsidRDefault="00BB1727" w:rsidP="00BB1727">
            <w:pPr>
              <w:jc w:val="both"/>
            </w:pPr>
            <w:r>
              <w:rPr>
                <w:rFonts w:eastAsia="Times New Roman" w:hAnsi="Times New Roman" w:cs="Times New Roman"/>
              </w:rPr>
              <w:t>0,4–0,6</w:t>
            </w:r>
          </w:p>
        </w:tc>
        <w:tc>
          <w:tcPr>
            <w:tcW w:w="0" w:type="auto"/>
            <w:tcBorders>
              <w:top w:val="single" w:sz="1" w:space="0" w:color="000000"/>
              <w:bottom w:val="single" w:sz="1" w:space="0" w:color="000000"/>
              <w:right w:val="single" w:sz="1" w:space="0" w:color="000000"/>
            </w:tcBorders>
          </w:tcPr>
          <w:p w14:paraId="4DF36368" w14:textId="77777777" w:rsidR="00270D0B" w:rsidRDefault="00BB1727" w:rsidP="00BB1727">
            <w:pPr>
              <w:jc w:val="both"/>
            </w:pPr>
            <w:r>
              <w:rPr>
                <w:rFonts w:eastAsia="Times New Roman" w:hAnsi="Times New Roman" w:cs="Times New Roman"/>
              </w:rPr>
              <w:t>0,3–0,4</w:t>
            </w:r>
          </w:p>
        </w:tc>
        <w:tc>
          <w:tcPr>
            <w:tcW w:w="0" w:type="auto"/>
            <w:tcBorders>
              <w:top w:val="single" w:sz="1" w:space="0" w:color="000000"/>
              <w:bottom w:val="single" w:sz="1" w:space="0" w:color="000000"/>
              <w:right w:val="single" w:sz="1" w:space="0" w:color="000000"/>
            </w:tcBorders>
          </w:tcPr>
          <w:p w14:paraId="0D3961C1" w14:textId="77777777" w:rsidR="00270D0B" w:rsidRDefault="00BB1727" w:rsidP="00BB1727">
            <w:pPr>
              <w:jc w:val="both"/>
            </w:pPr>
            <w:r>
              <w:rPr>
                <w:rFonts w:eastAsia="Times New Roman" w:hAnsi="Times New Roman" w:cs="Times New Roman"/>
              </w:rPr>
              <w:t>0,1–0,3</w:t>
            </w:r>
          </w:p>
        </w:tc>
        <w:tc>
          <w:tcPr>
            <w:tcW w:w="0" w:type="auto"/>
            <w:tcBorders>
              <w:top w:val="single" w:sz="1" w:space="0" w:color="000000"/>
              <w:bottom w:val="single" w:sz="1" w:space="0" w:color="000000"/>
            </w:tcBorders>
          </w:tcPr>
          <w:p w14:paraId="6D67DBD6" w14:textId="77777777" w:rsidR="00270D0B" w:rsidRDefault="00BB1727" w:rsidP="00BB1727">
            <w:pPr>
              <w:jc w:val="both"/>
            </w:pPr>
            <w:r>
              <w:t>&lt; 0,1</w:t>
            </w:r>
          </w:p>
        </w:tc>
      </w:tr>
      <w:tr w:rsidR="00270D0B" w14:paraId="35497F95" w14:textId="77777777">
        <w:trPr>
          <w:cantSplit/>
          <w:tblCellSpacing w:w="0" w:type="dxa"/>
          <w:jc w:val="center"/>
        </w:trPr>
        <w:tc>
          <w:tcPr>
            <w:tcW w:w="0" w:type="auto"/>
            <w:tcBorders>
              <w:top w:val="single" w:sz="1" w:space="0" w:color="000000"/>
              <w:bottom w:val="single" w:sz="1" w:space="0" w:color="000000"/>
            </w:tcBorders>
          </w:tcPr>
          <w:p w14:paraId="23251787" w14:textId="77777777" w:rsidR="00270D0B" w:rsidRDefault="00BB1727" w:rsidP="00BB1727">
            <w:pPr>
              <w:jc w:val="both"/>
            </w:pPr>
            <w:r>
              <w:t>TPR</w:t>
            </w:r>
          </w:p>
        </w:tc>
        <w:tc>
          <w:tcPr>
            <w:tcW w:w="0" w:type="auto"/>
            <w:tcBorders>
              <w:top w:val="single" w:sz="1" w:space="0" w:color="000000"/>
              <w:left w:val="single" w:sz="1" w:space="0" w:color="000000"/>
              <w:bottom w:val="single" w:sz="1" w:space="0" w:color="000000"/>
              <w:right w:val="single" w:sz="1" w:space="0" w:color="000000"/>
            </w:tcBorders>
          </w:tcPr>
          <w:p w14:paraId="61046085" w14:textId="77777777" w:rsidR="00270D0B" w:rsidRDefault="00BB1727" w:rsidP="00BB1727">
            <w:pPr>
              <w:jc w:val="both"/>
            </w:pPr>
            <w:r>
              <w:t>0</w:t>
            </w:r>
          </w:p>
        </w:tc>
        <w:tc>
          <w:tcPr>
            <w:tcW w:w="0" w:type="auto"/>
            <w:tcBorders>
              <w:top w:val="single" w:sz="1" w:space="0" w:color="000000"/>
              <w:bottom w:val="single" w:sz="1" w:space="0" w:color="000000"/>
              <w:right w:val="single" w:sz="1" w:space="0" w:color="000000"/>
            </w:tcBorders>
          </w:tcPr>
          <w:p w14:paraId="7FF7BD48"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5E2573BB"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5DD5C172" w14:textId="77777777" w:rsidR="00270D0B" w:rsidRDefault="00BB1727" w:rsidP="00BB1727">
            <w:pPr>
              <w:jc w:val="both"/>
            </w:pPr>
            <w:r>
              <w:t>2/3</w:t>
            </w:r>
          </w:p>
        </w:tc>
        <w:tc>
          <w:tcPr>
            <w:tcW w:w="0" w:type="auto"/>
            <w:tcBorders>
              <w:top w:val="single" w:sz="1" w:space="0" w:color="000000"/>
              <w:bottom w:val="single" w:sz="1" w:space="0" w:color="000000"/>
              <w:right w:val="single" w:sz="1" w:space="0" w:color="000000"/>
            </w:tcBorders>
          </w:tcPr>
          <w:p w14:paraId="6C6B1D8F" w14:textId="77777777" w:rsidR="00270D0B" w:rsidRDefault="00BB1727" w:rsidP="00BB1727">
            <w:pPr>
              <w:jc w:val="both"/>
            </w:pPr>
            <w:r>
              <w:t>1</w:t>
            </w:r>
          </w:p>
        </w:tc>
        <w:tc>
          <w:tcPr>
            <w:tcW w:w="0" w:type="auto"/>
            <w:tcBorders>
              <w:top w:val="single" w:sz="1" w:space="0" w:color="000000"/>
              <w:bottom w:val="single" w:sz="1" w:space="0" w:color="000000"/>
              <w:right w:val="single" w:sz="1" w:space="0" w:color="000000"/>
            </w:tcBorders>
          </w:tcPr>
          <w:p w14:paraId="6459ED69" w14:textId="77777777" w:rsidR="00270D0B" w:rsidRDefault="00BB1727" w:rsidP="00BB1727">
            <w:pPr>
              <w:jc w:val="both"/>
            </w:pPr>
            <w:r>
              <w:t>1</w:t>
            </w:r>
          </w:p>
        </w:tc>
        <w:tc>
          <w:tcPr>
            <w:tcW w:w="0" w:type="auto"/>
            <w:tcBorders>
              <w:top w:val="single" w:sz="1" w:space="0" w:color="000000"/>
              <w:bottom w:val="single" w:sz="1" w:space="0" w:color="000000"/>
            </w:tcBorders>
          </w:tcPr>
          <w:p w14:paraId="68F5B5BA" w14:textId="77777777" w:rsidR="00270D0B" w:rsidRDefault="00BB1727" w:rsidP="00BB1727">
            <w:pPr>
              <w:jc w:val="both"/>
            </w:pPr>
            <w:r>
              <w:t>1</w:t>
            </w:r>
          </w:p>
        </w:tc>
      </w:tr>
      <w:tr w:rsidR="00270D0B" w14:paraId="702E8EBF" w14:textId="77777777">
        <w:trPr>
          <w:cantSplit/>
          <w:tblCellSpacing w:w="0" w:type="dxa"/>
          <w:jc w:val="center"/>
        </w:trPr>
        <w:tc>
          <w:tcPr>
            <w:tcW w:w="0" w:type="auto"/>
            <w:tcBorders>
              <w:top w:val="single" w:sz="1" w:space="0" w:color="000000"/>
              <w:bottom w:val="single" w:sz="1" w:space="0" w:color="000000"/>
            </w:tcBorders>
          </w:tcPr>
          <w:p w14:paraId="5FB036E4" w14:textId="77777777" w:rsidR="00270D0B" w:rsidRDefault="00BB1727" w:rsidP="00BB1727">
            <w:pPr>
              <w:jc w:val="both"/>
            </w:pPr>
            <w:r>
              <w:t>FPR</w:t>
            </w:r>
          </w:p>
        </w:tc>
        <w:tc>
          <w:tcPr>
            <w:tcW w:w="0" w:type="auto"/>
            <w:tcBorders>
              <w:top w:val="single" w:sz="1" w:space="0" w:color="000000"/>
              <w:left w:val="single" w:sz="1" w:space="0" w:color="000000"/>
              <w:bottom w:val="single" w:sz="1" w:space="0" w:color="000000"/>
              <w:right w:val="single" w:sz="1" w:space="0" w:color="000000"/>
            </w:tcBorders>
          </w:tcPr>
          <w:p w14:paraId="0636B8C6" w14:textId="77777777" w:rsidR="00270D0B" w:rsidRDefault="00BB1727" w:rsidP="00BB1727">
            <w:pPr>
              <w:jc w:val="both"/>
            </w:pPr>
            <w:r>
              <w:t>0</w:t>
            </w:r>
          </w:p>
        </w:tc>
        <w:tc>
          <w:tcPr>
            <w:tcW w:w="0" w:type="auto"/>
            <w:tcBorders>
              <w:top w:val="single" w:sz="1" w:space="0" w:color="000000"/>
              <w:bottom w:val="single" w:sz="1" w:space="0" w:color="000000"/>
              <w:right w:val="single" w:sz="1" w:space="0" w:color="000000"/>
            </w:tcBorders>
          </w:tcPr>
          <w:p w14:paraId="7C5B45A3" w14:textId="77777777" w:rsidR="00270D0B" w:rsidRDefault="00BB1727" w:rsidP="00BB1727">
            <w:pPr>
              <w:jc w:val="both"/>
            </w:pPr>
            <w:r>
              <w:t>0</w:t>
            </w:r>
          </w:p>
        </w:tc>
        <w:tc>
          <w:tcPr>
            <w:tcW w:w="0" w:type="auto"/>
            <w:tcBorders>
              <w:top w:val="single" w:sz="1" w:space="0" w:color="000000"/>
              <w:bottom w:val="single" w:sz="1" w:space="0" w:color="000000"/>
              <w:right w:val="single" w:sz="1" w:space="0" w:color="000000"/>
            </w:tcBorders>
          </w:tcPr>
          <w:p w14:paraId="548B89E1"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08356CC3"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049A1729"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26773AB7" w14:textId="77777777" w:rsidR="00270D0B" w:rsidRDefault="00BB1727" w:rsidP="00BB1727">
            <w:pPr>
              <w:jc w:val="both"/>
            </w:pPr>
            <w:r>
              <w:t>2/3</w:t>
            </w:r>
          </w:p>
        </w:tc>
        <w:tc>
          <w:tcPr>
            <w:tcW w:w="0" w:type="auto"/>
            <w:tcBorders>
              <w:top w:val="single" w:sz="1" w:space="0" w:color="000000"/>
              <w:bottom w:val="single" w:sz="1" w:space="0" w:color="000000"/>
            </w:tcBorders>
          </w:tcPr>
          <w:p w14:paraId="47144882" w14:textId="77777777" w:rsidR="00270D0B" w:rsidRDefault="00BB1727" w:rsidP="00BB1727">
            <w:pPr>
              <w:jc w:val="both"/>
            </w:pPr>
            <w:r>
              <w:t>1</w:t>
            </w:r>
          </w:p>
        </w:tc>
      </w:tr>
    </w:tbl>
    <w:p w14:paraId="45272854" w14:textId="77777777" w:rsidR="00270D0B" w:rsidRDefault="00270D0B" w:rsidP="00BB1727">
      <w:pPr>
        <w:jc w:val="both"/>
      </w:pPr>
    </w:p>
    <w:p w14:paraId="0A42EA92" w14:textId="77777777" w:rsidR="00270D0B" w:rsidRDefault="00BB1727" w:rsidP="00BB1727">
      <w:pPr>
        <w:spacing w:after="280"/>
        <w:jc w:val="both"/>
      </w:pPr>
      <w:r>
        <w:t>La courbe ROC correspondante est visible sur la figure 3.4.</w:t>
      </w:r>
    </w:p>
    <w:p w14:paraId="442DA487" w14:textId="77777777" w:rsidR="00270D0B" w:rsidRPr="00794959" w:rsidRDefault="00794959" w:rsidP="00794959">
      <w:pPr>
        <w:spacing w:after="280"/>
        <w:ind w:left="840"/>
        <w:jc w:val="both"/>
        <w:rPr>
          <w:b/>
          <w:sz w:val="42"/>
        </w:rPr>
      </w:pPr>
      <w:r w:rsidRPr="00794959">
        <w:rPr>
          <w:b/>
          <w:noProof/>
          <w:sz w:val="42"/>
        </w:rPr>
        <w:drawing>
          <wp:inline distT="0" distB="0" distL="0" distR="0" wp14:anchorId="2CC39EC6" wp14:editId="67AEEF10">
            <wp:extent cx="5486400" cy="31318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3131820"/>
                    </a:xfrm>
                    <a:prstGeom prst="rect">
                      <a:avLst/>
                    </a:prstGeom>
                  </pic:spPr>
                </pic:pic>
              </a:graphicData>
            </a:graphic>
          </wp:inline>
        </w:drawing>
      </w:r>
    </w:p>
    <w:p w14:paraId="260D9F71" w14:textId="1B9978EE"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On peut enfin utiliser la courbe ROC pour choisir un seuil de décision, à partir de la sensibilité (ou de la spécificité) que l'on souhaite garantir.</w:t>
      </w:r>
    </w:p>
    <w:p w14:paraId="73AA8811" w14:textId="77777777" w:rsidR="00270D0B" w:rsidRDefault="00BB1727" w:rsidP="00BB1727">
      <w:pPr>
        <w:spacing w:before="240" w:line="271" w:lineRule="auto"/>
        <w:jc w:val="both"/>
      </w:pPr>
      <w:bookmarkStart w:id="16" w:name="courbe_précision_rappel"/>
      <w:r>
        <w:rPr>
          <w:rFonts w:eastAsia="Times New Roman" w:hAnsi="Times New Roman" w:cs="Times New Roman"/>
          <w:b/>
          <w:sz w:val="33"/>
        </w:rPr>
        <w:t>Courbe précision-rappel</w:t>
      </w:r>
      <w:bookmarkEnd w:id="16"/>
    </w:p>
    <w:p w14:paraId="7032E218" w14:textId="69C1078B"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La courbe précision-rappel vient souvent compléter la courbe ROC.</w:t>
      </w:r>
    </w:p>
    <w:p w14:paraId="6B189E8A" w14:textId="2D4B4B78" w:rsidR="00270D0B" w:rsidRDefault="00EB2F37" w:rsidP="00BB1727">
      <w:pPr>
        <w:spacing w:after="280"/>
        <w:jc w:val="both"/>
      </w:pPr>
      <w:r>
        <w:rPr>
          <w:b/>
        </w:rPr>
        <w:tab/>
      </w:r>
      <w:r w:rsidR="00BB1727">
        <w:rPr>
          <w:b/>
        </w:rPr>
        <w:t>D</w:t>
      </w:r>
      <w:r w:rsidR="00BB1727">
        <w:rPr>
          <w:b/>
        </w:rPr>
        <w:t>é</w:t>
      </w:r>
      <w:r w:rsidR="00BB1727">
        <w:rPr>
          <w:b/>
        </w:rPr>
        <w:t>finition 3.15 (Courbe pr</w:t>
      </w:r>
      <w:r w:rsidR="00BB1727">
        <w:rPr>
          <w:b/>
        </w:rPr>
        <w:t>é</w:t>
      </w:r>
      <w:r w:rsidR="00BB1727">
        <w:rPr>
          <w:b/>
        </w:rPr>
        <w:t>cision-rappel)</w:t>
      </w:r>
      <w:r w:rsidR="00794959">
        <w:t xml:space="preserve"> </w:t>
      </w:r>
      <w:r w:rsidR="00BB1727">
        <w:t xml:space="preserve">On appelle </w:t>
      </w:r>
      <w:r w:rsidR="00BB1727">
        <w:rPr>
          <w:b/>
        </w:rPr>
        <w:t>courbe pr</w:t>
      </w:r>
      <w:r w:rsidR="00BB1727">
        <w:rPr>
          <w:b/>
        </w:rPr>
        <w:t>é</w:t>
      </w:r>
      <w:r w:rsidR="00BB1727">
        <w:rPr>
          <w:b/>
        </w:rPr>
        <w:t>cision-rappel</w:t>
      </w:r>
      <w:r w:rsidR="00BB1727">
        <w:rPr>
          <w:rFonts w:eastAsia="Times New Roman" w:hAnsi="Times New Roman" w:cs="Times New Roman"/>
        </w:rPr>
        <w:t xml:space="preserve"> (</w:t>
      </w:r>
      <w:proofErr w:type="spellStart"/>
      <w:r w:rsidR="00BB1727">
        <w:rPr>
          <w:rFonts w:eastAsia="Times New Roman" w:hAnsi="Times New Roman" w:cs="Times New Roman"/>
        </w:rPr>
        <w:t>Precision-Recall</w:t>
      </w:r>
      <w:proofErr w:type="spellEnd"/>
      <w:r w:rsidR="00BB1727">
        <w:rPr>
          <w:rFonts w:eastAsia="Times New Roman" w:hAnsi="Times New Roman" w:cs="Times New Roman"/>
        </w:rPr>
        <w:t xml:space="preserve"> </w:t>
      </w:r>
      <w:proofErr w:type="spellStart"/>
      <w:r w:rsidR="00BB1727">
        <w:rPr>
          <w:rFonts w:eastAsia="Times New Roman" w:hAnsi="Times New Roman" w:cs="Times New Roman"/>
        </w:rPr>
        <w:t>curve</w:t>
      </w:r>
      <w:proofErr w:type="spellEnd"/>
      <w:r w:rsidR="00BB1727">
        <w:rPr>
          <w:rFonts w:eastAsia="Times New Roman" w:hAnsi="Times New Roman" w:cs="Times New Roman"/>
        </w:rPr>
        <w:t>) la courbe décrivant l'évolution de la précision en fonction du rappel, lorsque le seuil de décision change.</w:t>
      </w:r>
    </w:p>
    <w:p w14:paraId="2A86FCA9" w14:textId="3C9B0A9E" w:rsidR="00270D0B" w:rsidRDefault="00EB2F37" w:rsidP="00BB1727">
      <w:pPr>
        <w:spacing w:after="280"/>
        <w:jc w:val="both"/>
      </w:pPr>
      <w:r>
        <w:rPr>
          <w:rFonts w:eastAsia="Times New Roman" w:hAnsi="Times New Roman" w:cs="Times New Roman"/>
        </w:rPr>
        <w:lastRenderedPageBreak/>
        <w:tab/>
      </w:r>
      <w:r w:rsidR="00BB1727">
        <w:rPr>
          <w:rFonts w:eastAsia="Times New Roman" w:hAnsi="Times New Roman" w:cs="Times New Roman"/>
        </w:rPr>
        <w:t xml:space="preserve">Pour synthétiser cette courbe, on peut utiliser </w:t>
      </w:r>
      <w:r w:rsidR="00BB1727">
        <w:rPr>
          <w:b/>
        </w:rPr>
        <w:t>l'aire sous celle-ci</w:t>
      </w:r>
      <w:r w:rsidR="00BB1727">
        <w:rPr>
          <w:rFonts w:eastAsia="Times New Roman" w:hAnsi="Times New Roman" w:cs="Times New Roman"/>
        </w:rPr>
        <w:t xml:space="preserve">, souvent abrégée </w:t>
      </w:r>
      <w:r w:rsidR="00BB1727">
        <w:rPr>
          <w:b/>
        </w:rPr>
        <w:t>AUPR</w:t>
      </w:r>
      <w:r w:rsidR="00BB1727">
        <w:t xml:space="preserve"> (Area Under the </w:t>
      </w:r>
      <w:proofErr w:type="spellStart"/>
      <w:r w:rsidR="00BB1727">
        <w:t>Precision-Recall</w:t>
      </w:r>
      <w:proofErr w:type="spellEnd"/>
      <w:r w:rsidR="00BB1727">
        <w:t xml:space="preserve"> </w:t>
      </w:r>
      <w:proofErr w:type="spellStart"/>
      <w:r w:rsidR="00BB1727">
        <w:t>curve</w:t>
      </w:r>
      <w:proofErr w:type="spellEnd"/>
      <w:r w:rsidR="00BB1727">
        <w:t>).</w:t>
      </w:r>
    </w:p>
    <w:p w14:paraId="1797A1DC" w14:textId="22F328F1"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Un exemple de courbe précision-rappel, pour les mêmes données que la figure 3.3, est présenté sur la figure 3.5.</w:t>
      </w:r>
    </w:p>
    <w:p w14:paraId="2F292CD2" w14:textId="65765B59" w:rsidR="00270D0B" w:rsidRDefault="00EB2F37" w:rsidP="00BB1727">
      <w:pPr>
        <w:spacing w:after="280"/>
        <w:jc w:val="both"/>
      </w:pPr>
      <w:r>
        <w:rPr>
          <w:rFonts w:eastAsia="Times New Roman" w:hAnsi="Times New Roman" w:cs="Times New Roman"/>
        </w:rPr>
        <w:tab/>
      </w:r>
      <w:r w:rsidR="00794959">
        <w:rPr>
          <w:rFonts w:eastAsia="Times New Roman" w:hAnsi="Times New Roman" w:cs="Times New Roman"/>
        </w:rPr>
        <w:t xml:space="preserve">Remarque </w:t>
      </w:r>
      <w:r w:rsidR="00BB1727">
        <w:rPr>
          <w:rFonts w:eastAsia="Times New Roman" w:hAnsi="Times New Roman" w:cs="Times New Roman"/>
        </w:rPr>
        <w:t>Pour le seuil le plus élevé, aucun exemple n'est étiqueté positif, et la précision n'est donc pas définie. Par convention, on utilise généralement une précision de 1 si la première observation à considérer est positive, et une précision de 0 sinon.</w:t>
      </w:r>
    </w:p>
    <w:p w14:paraId="59A93B18" w14:textId="089B4F36"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Reprenons l'exemple précédent pour construire une courbe précision-rappel. Les valeurs de la précision et du rappel sont les suivantes :</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369"/>
        <w:gridCol w:w="867"/>
        <w:gridCol w:w="1106"/>
        <w:gridCol w:w="1106"/>
        <w:gridCol w:w="1106"/>
        <w:gridCol w:w="1106"/>
        <w:gridCol w:w="1106"/>
        <w:gridCol w:w="868"/>
      </w:tblGrid>
      <w:tr w:rsidR="00270D0B" w14:paraId="35433209" w14:textId="77777777">
        <w:trPr>
          <w:cantSplit/>
          <w:tblCellSpacing w:w="0" w:type="dxa"/>
          <w:jc w:val="center"/>
        </w:trPr>
        <w:tc>
          <w:tcPr>
            <w:tcW w:w="0" w:type="auto"/>
            <w:tcBorders>
              <w:top w:val="single" w:sz="1" w:space="0" w:color="000000"/>
              <w:bottom w:val="single" w:sz="1" w:space="0" w:color="000000"/>
            </w:tcBorders>
          </w:tcPr>
          <w:p w14:paraId="4C4CFA82" w14:textId="77777777" w:rsidR="00270D0B" w:rsidRDefault="00BB1727" w:rsidP="00BB1727">
            <w:pPr>
              <w:jc w:val="both"/>
            </w:pPr>
            <w:r>
              <w:t>Seuil</w:t>
            </w:r>
          </w:p>
        </w:tc>
        <w:tc>
          <w:tcPr>
            <w:tcW w:w="0" w:type="auto"/>
            <w:tcBorders>
              <w:top w:val="single" w:sz="1" w:space="0" w:color="000000"/>
              <w:left w:val="single" w:sz="1" w:space="0" w:color="000000"/>
              <w:bottom w:val="single" w:sz="1" w:space="0" w:color="000000"/>
              <w:right w:val="single" w:sz="1" w:space="0" w:color="000000"/>
            </w:tcBorders>
          </w:tcPr>
          <w:p w14:paraId="4033318E" w14:textId="77777777" w:rsidR="00270D0B" w:rsidRDefault="00BB1727" w:rsidP="00BB1727">
            <w:pPr>
              <w:jc w:val="both"/>
            </w:pPr>
            <w:r>
              <w:t>&gt; 0,9</w:t>
            </w:r>
          </w:p>
        </w:tc>
        <w:tc>
          <w:tcPr>
            <w:tcW w:w="0" w:type="auto"/>
            <w:tcBorders>
              <w:top w:val="single" w:sz="1" w:space="0" w:color="000000"/>
              <w:bottom w:val="single" w:sz="1" w:space="0" w:color="000000"/>
              <w:right w:val="single" w:sz="1" w:space="0" w:color="000000"/>
            </w:tcBorders>
          </w:tcPr>
          <w:p w14:paraId="0700F6BF" w14:textId="77777777" w:rsidR="00270D0B" w:rsidRDefault="00BB1727" w:rsidP="00BB1727">
            <w:pPr>
              <w:jc w:val="both"/>
            </w:pPr>
            <w:r>
              <w:rPr>
                <w:rFonts w:eastAsia="Times New Roman" w:hAnsi="Times New Roman" w:cs="Times New Roman"/>
              </w:rPr>
              <w:t>0,8–0,9</w:t>
            </w:r>
          </w:p>
        </w:tc>
        <w:tc>
          <w:tcPr>
            <w:tcW w:w="0" w:type="auto"/>
            <w:tcBorders>
              <w:top w:val="single" w:sz="1" w:space="0" w:color="000000"/>
              <w:bottom w:val="single" w:sz="1" w:space="0" w:color="000000"/>
              <w:right w:val="single" w:sz="1" w:space="0" w:color="000000"/>
            </w:tcBorders>
          </w:tcPr>
          <w:p w14:paraId="4B06AEEA" w14:textId="77777777" w:rsidR="00270D0B" w:rsidRDefault="00BB1727" w:rsidP="00BB1727">
            <w:pPr>
              <w:jc w:val="both"/>
            </w:pPr>
            <w:r>
              <w:rPr>
                <w:rFonts w:eastAsia="Times New Roman" w:hAnsi="Times New Roman" w:cs="Times New Roman"/>
              </w:rPr>
              <w:t>0,6–0,8</w:t>
            </w:r>
          </w:p>
        </w:tc>
        <w:tc>
          <w:tcPr>
            <w:tcW w:w="0" w:type="auto"/>
            <w:tcBorders>
              <w:top w:val="single" w:sz="1" w:space="0" w:color="000000"/>
              <w:bottom w:val="single" w:sz="1" w:space="0" w:color="000000"/>
              <w:right w:val="single" w:sz="1" w:space="0" w:color="000000"/>
            </w:tcBorders>
          </w:tcPr>
          <w:p w14:paraId="5A712351" w14:textId="77777777" w:rsidR="00270D0B" w:rsidRDefault="00BB1727" w:rsidP="00BB1727">
            <w:pPr>
              <w:jc w:val="both"/>
            </w:pPr>
            <w:r>
              <w:rPr>
                <w:rFonts w:eastAsia="Times New Roman" w:hAnsi="Times New Roman" w:cs="Times New Roman"/>
              </w:rPr>
              <w:t>0,4–0,6</w:t>
            </w:r>
          </w:p>
        </w:tc>
        <w:tc>
          <w:tcPr>
            <w:tcW w:w="0" w:type="auto"/>
            <w:tcBorders>
              <w:top w:val="single" w:sz="1" w:space="0" w:color="000000"/>
              <w:bottom w:val="single" w:sz="1" w:space="0" w:color="000000"/>
              <w:right w:val="single" w:sz="1" w:space="0" w:color="000000"/>
            </w:tcBorders>
          </w:tcPr>
          <w:p w14:paraId="4164D23D" w14:textId="77777777" w:rsidR="00270D0B" w:rsidRDefault="00BB1727" w:rsidP="00BB1727">
            <w:pPr>
              <w:jc w:val="both"/>
            </w:pPr>
            <w:r>
              <w:rPr>
                <w:rFonts w:eastAsia="Times New Roman" w:hAnsi="Times New Roman" w:cs="Times New Roman"/>
              </w:rPr>
              <w:t>0,3–0,4</w:t>
            </w:r>
          </w:p>
        </w:tc>
        <w:tc>
          <w:tcPr>
            <w:tcW w:w="0" w:type="auto"/>
            <w:tcBorders>
              <w:top w:val="single" w:sz="1" w:space="0" w:color="000000"/>
              <w:bottom w:val="single" w:sz="1" w:space="0" w:color="000000"/>
              <w:right w:val="single" w:sz="1" w:space="0" w:color="000000"/>
            </w:tcBorders>
          </w:tcPr>
          <w:p w14:paraId="53E232A5" w14:textId="77777777" w:rsidR="00270D0B" w:rsidRDefault="00BB1727" w:rsidP="00BB1727">
            <w:pPr>
              <w:jc w:val="both"/>
            </w:pPr>
            <w:r>
              <w:rPr>
                <w:rFonts w:eastAsia="Times New Roman" w:hAnsi="Times New Roman" w:cs="Times New Roman"/>
              </w:rPr>
              <w:t>0,1–0,3</w:t>
            </w:r>
          </w:p>
        </w:tc>
        <w:tc>
          <w:tcPr>
            <w:tcW w:w="0" w:type="auto"/>
            <w:tcBorders>
              <w:top w:val="single" w:sz="1" w:space="0" w:color="000000"/>
              <w:bottom w:val="single" w:sz="1" w:space="0" w:color="000000"/>
            </w:tcBorders>
          </w:tcPr>
          <w:p w14:paraId="27BDBE88" w14:textId="77777777" w:rsidR="00270D0B" w:rsidRDefault="00BB1727" w:rsidP="00BB1727">
            <w:pPr>
              <w:jc w:val="both"/>
            </w:pPr>
            <w:r>
              <w:t>&lt; 0,1</w:t>
            </w:r>
          </w:p>
        </w:tc>
      </w:tr>
      <w:tr w:rsidR="00270D0B" w14:paraId="6985F43C" w14:textId="77777777">
        <w:trPr>
          <w:cantSplit/>
          <w:tblCellSpacing w:w="0" w:type="dxa"/>
          <w:jc w:val="center"/>
        </w:trPr>
        <w:tc>
          <w:tcPr>
            <w:tcW w:w="0" w:type="auto"/>
            <w:tcBorders>
              <w:top w:val="single" w:sz="1" w:space="0" w:color="000000"/>
              <w:bottom w:val="single" w:sz="1" w:space="0" w:color="000000"/>
            </w:tcBorders>
          </w:tcPr>
          <w:p w14:paraId="6DE359CF" w14:textId="77777777" w:rsidR="00270D0B" w:rsidRDefault="00BB1727" w:rsidP="00BB1727">
            <w:pPr>
              <w:jc w:val="both"/>
            </w:pPr>
            <w:r>
              <w:t>Rappel</w:t>
            </w:r>
          </w:p>
        </w:tc>
        <w:tc>
          <w:tcPr>
            <w:tcW w:w="0" w:type="auto"/>
            <w:tcBorders>
              <w:top w:val="single" w:sz="1" w:space="0" w:color="000000"/>
              <w:left w:val="single" w:sz="1" w:space="0" w:color="000000"/>
              <w:bottom w:val="single" w:sz="1" w:space="0" w:color="000000"/>
              <w:right w:val="single" w:sz="1" w:space="0" w:color="000000"/>
            </w:tcBorders>
          </w:tcPr>
          <w:p w14:paraId="45F95289" w14:textId="77777777" w:rsidR="00270D0B" w:rsidRDefault="00BB1727" w:rsidP="00BB1727">
            <w:pPr>
              <w:jc w:val="both"/>
            </w:pPr>
            <w:r>
              <w:t>0</w:t>
            </w:r>
          </w:p>
        </w:tc>
        <w:tc>
          <w:tcPr>
            <w:tcW w:w="0" w:type="auto"/>
            <w:tcBorders>
              <w:top w:val="single" w:sz="1" w:space="0" w:color="000000"/>
              <w:bottom w:val="single" w:sz="1" w:space="0" w:color="000000"/>
              <w:right w:val="single" w:sz="1" w:space="0" w:color="000000"/>
            </w:tcBorders>
          </w:tcPr>
          <w:p w14:paraId="08E020D3"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1957E3F8" w14:textId="77777777" w:rsidR="00270D0B" w:rsidRDefault="00BB1727" w:rsidP="00BB1727">
            <w:pPr>
              <w:jc w:val="both"/>
            </w:pPr>
            <w:r>
              <w:t>1/3</w:t>
            </w:r>
          </w:p>
        </w:tc>
        <w:tc>
          <w:tcPr>
            <w:tcW w:w="0" w:type="auto"/>
            <w:tcBorders>
              <w:top w:val="single" w:sz="1" w:space="0" w:color="000000"/>
              <w:bottom w:val="single" w:sz="1" w:space="0" w:color="000000"/>
              <w:right w:val="single" w:sz="1" w:space="0" w:color="000000"/>
            </w:tcBorders>
          </w:tcPr>
          <w:p w14:paraId="5BD1661A" w14:textId="77777777" w:rsidR="00270D0B" w:rsidRDefault="00BB1727" w:rsidP="00BB1727">
            <w:pPr>
              <w:jc w:val="both"/>
            </w:pPr>
            <w:r>
              <w:t>2/3</w:t>
            </w:r>
          </w:p>
        </w:tc>
        <w:tc>
          <w:tcPr>
            <w:tcW w:w="0" w:type="auto"/>
            <w:tcBorders>
              <w:top w:val="single" w:sz="1" w:space="0" w:color="000000"/>
              <w:bottom w:val="single" w:sz="1" w:space="0" w:color="000000"/>
              <w:right w:val="single" w:sz="1" w:space="0" w:color="000000"/>
            </w:tcBorders>
          </w:tcPr>
          <w:p w14:paraId="0B46D874" w14:textId="77777777" w:rsidR="00270D0B" w:rsidRDefault="00BB1727" w:rsidP="00BB1727">
            <w:pPr>
              <w:jc w:val="both"/>
            </w:pPr>
            <w:r>
              <w:t>1</w:t>
            </w:r>
          </w:p>
        </w:tc>
        <w:tc>
          <w:tcPr>
            <w:tcW w:w="0" w:type="auto"/>
            <w:tcBorders>
              <w:top w:val="single" w:sz="1" w:space="0" w:color="000000"/>
              <w:bottom w:val="single" w:sz="1" w:space="0" w:color="000000"/>
              <w:right w:val="single" w:sz="1" w:space="0" w:color="000000"/>
            </w:tcBorders>
          </w:tcPr>
          <w:p w14:paraId="37EA87EC" w14:textId="77777777" w:rsidR="00270D0B" w:rsidRDefault="00BB1727" w:rsidP="00BB1727">
            <w:pPr>
              <w:jc w:val="both"/>
            </w:pPr>
            <w:r>
              <w:t>1</w:t>
            </w:r>
          </w:p>
        </w:tc>
        <w:tc>
          <w:tcPr>
            <w:tcW w:w="0" w:type="auto"/>
            <w:tcBorders>
              <w:top w:val="single" w:sz="1" w:space="0" w:color="000000"/>
              <w:bottom w:val="single" w:sz="1" w:space="0" w:color="000000"/>
            </w:tcBorders>
          </w:tcPr>
          <w:p w14:paraId="3B6D41E6" w14:textId="77777777" w:rsidR="00270D0B" w:rsidRDefault="00BB1727" w:rsidP="00BB1727">
            <w:pPr>
              <w:jc w:val="both"/>
            </w:pPr>
            <w:r>
              <w:t>1</w:t>
            </w:r>
          </w:p>
        </w:tc>
      </w:tr>
      <w:tr w:rsidR="00270D0B" w14:paraId="243FB8AF" w14:textId="77777777">
        <w:trPr>
          <w:cantSplit/>
          <w:tblCellSpacing w:w="0" w:type="dxa"/>
          <w:jc w:val="center"/>
        </w:trPr>
        <w:tc>
          <w:tcPr>
            <w:tcW w:w="0" w:type="auto"/>
            <w:tcBorders>
              <w:top w:val="single" w:sz="1" w:space="0" w:color="000000"/>
              <w:bottom w:val="single" w:sz="1" w:space="0" w:color="000000"/>
            </w:tcBorders>
          </w:tcPr>
          <w:p w14:paraId="52F7A046" w14:textId="77777777" w:rsidR="00270D0B" w:rsidRDefault="00BB1727" w:rsidP="00BB1727">
            <w:pPr>
              <w:jc w:val="both"/>
            </w:pPr>
            <w:r>
              <w:rPr>
                <w:rFonts w:eastAsia="Times New Roman" w:hAnsi="Times New Roman" w:cs="Times New Roman"/>
              </w:rPr>
              <w:t>Précision</w:t>
            </w:r>
          </w:p>
        </w:tc>
        <w:tc>
          <w:tcPr>
            <w:tcW w:w="0" w:type="auto"/>
            <w:tcBorders>
              <w:top w:val="single" w:sz="1" w:space="0" w:color="000000"/>
              <w:left w:val="single" w:sz="1" w:space="0" w:color="000000"/>
              <w:bottom w:val="single" w:sz="1" w:space="0" w:color="000000"/>
              <w:right w:val="single" w:sz="1" w:space="0" w:color="000000"/>
            </w:tcBorders>
          </w:tcPr>
          <w:p w14:paraId="00CC8EA7" w14:textId="77777777" w:rsidR="00270D0B" w:rsidRDefault="00BB1727" w:rsidP="00BB1727">
            <w:pPr>
              <w:jc w:val="both"/>
            </w:pPr>
            <w:r>
              <w:rPr>
                <w:rFonts w:eastAsia="Times New Roman" w:hAnsi="Times New Roman" w:cs="Times New Roman"/>
              </w:rPr>
              <w:t>—</w:t>
            </w:r>
          </w:p>
        </w:tc>
        <w:tc>
          <w:tcPr>
            <w:tcW w:w="0" w:type="auto"/>
            <w:tcBorders>
              <w:top w:val="single" w:sz="1" w:space="0" w:color="000000"/>
              <w:bottom w:val="single" w:sz="1" w:space="0" w:color="000000"/>
              <w:right w:val="single" w:sz="1" w:space="0" w:color="000000"/>
            </w:tcBorders>
          </w:tcPr>
          <w:p w14:paraId="42893B64" w14:textId="77777777" w:rsidR="00270D0B" w:rsidRDefault="00BB1727" w:rsidP="00BB1727">
            <w:pPr>
              <w:jc w:val="both"/>
            </w:pPr>
            <w:r>
              <w:t>1</w:t>
            </w:r>
          </w:p>
        </w:tc>
        <w:tc>
          <w:tcPr>
            <w:tcW w:w="0" w:type="auto"/>
            <w:tcBorders>
              <w:top w:val="single" w:sz="1" w:space="0" w:color="000000"/>
              <w:bottom w:val="single" w:sz="1" w:space="0" w:color="000000"/>
              <w:right w:val="single" w:sz="1" w:space="0" w:color="000000"/>
            </w:tcBorders>
          </w:tcPr>
          <w:p w14:paraId="25B830F1" w14:textId="77777777" w:rsidR="00270D0B" w:rsidRDefault="00BB1727" w:rsidP="00BB1727">
            <w:pPr>
              <w:jc w:val="both"/>
            </w:pPr>
            <w:r>
              <w:t>1/2</w:t>
            </w:r>
          </w:p>
        </w:tc>
        <w:tc>
          <w:tcPr>
            <w:tcW w:w="0" w:type="auto"/>
            <w:tcBorders>
              <w:top w:val="single" w:sz="1" w:space="0" w:color="000000"/>
              <w:bottom w:val="single" w:sz="1" w:space="0" w:color="000000"/>
              <w:right w:val="single" w:sz="1" w:space="0" w:color="000000"/>
            </w:tcBorders>
          </w:tcPr>
          <w:p w14:paraId="263A42AD" w14:textId="77777777" w:rsidR="00270D0B" w:rsidRDefault="00BB1727" w:rsidP="00BB1727">
            <w:pPr>
              <w:jc w:val="both"/>
            </w:pPr>
            <w:r>
              <w:t>2/3</w:t>
            </w:r>
          </w:p>
        </w:tc>
        <w:tc>
          <w:tcPr>
            <w:tcW w:w="0" w:type="auto"/>
            <w:tcBorders>
              <w:top w:val="single" w:sz="1" w:space="0" w:color="000000"/>
              <w:bottom w:val="single" w:sz="1" w:space="0" w:color="000000"/>
              <w:right w:val="single" w:sz="1" w:space="0" w:color="000000"/>
            </w:tcBorders>
          </w:tcPr>
          <w:p w14:paraId="241CB85F" w14:textId="77777777" w:rsidR="00270D0B" w:rsidRDefault="00BB1727" w:rsidP="00BB1727">
            <w:pPr>
              <w:jc w:val="both"/>
            </w:pPr>
            <w:r>
              <w:t>3/4</w:t>
            </w:r>
          </w:p>
        </w:tc>
        <w:tc>
          <w:tcPr>
            <w:tcW w:w="0" w:type="auto"/>
            <w:tcBorders>
              <w:top w:val="single" w:sz="1" w:space="0" w:color="000000"/>
              <w:bottom w:val="single" w:sz="1" w:space="0" w:color="000000"/>
              <w:right w:val="single" w:sz="1" w:space="0" w:color="000000"/>
            </w:tcBorders>
          </w:tcPr>
          <w:p w14:paraId="7CD9DFF6" w14:textId="77777777" w:rsidR="00270D0B" w:rsidRDefault="00BB1727" w:rsidP="00BB1727">
            <w:pPr>
              <w:jc w:val="both"/>
            </w:pPr>
            <w:r>
              <w:t>3/5</w:t>
            </w:r>
          </w:p>
        </w:tc>
        <w:tc>
          <w:tcPr>
            <w:tcW w:w="0" w:type="auto"/>
            <w:tcBorders>
              <w:top w:val="single" w:sz="1" w:space="0" w:color="000000"/>
              <w:bottom w:val="single" w:sz="1" w:space="0" w:color="000000"/>
            </w:tcBorders>
          </w:tcPr>
          <w:p w14:paraId="4D71DD32" w14:textId="77777777" w:rsidR="00270D0B" w:rsidRDefault="00BB1727" w:rsidP="00BB1727">
            <w:pPr>
              <w:jc w:val="both"/>
            </w:pPr>
            <w:r>
              <w:t>3/6</w:t>
            </w:r>
          </w:p>
        </w:tc>
      </w:tr>
    </w:tbl>
    <w:p w14:paraId="3B9CCC2B" w14:textId="77777777" w:rsidR="00270D0B" w:rsidRDefault="00270D0B" w:rsidP="00BB1727">
      <w:pPr>
        <w:jc w:val="both"/>
      </w:pPr>
    </w:p>
    <w:p w14:paraId="0951691D" w14:textId="77777777" w:rsidR="00B35220" w:rsidRDefault="00794959" w:rsidP="00BB1727">
      <w:pPr>
        <w:spacing w:after="280"/>
        <w:ind w:left="840"/>
        <w:jc w:val="both"/>
        <w:rPr>
          <w:b/>
          <w:color w:val="666666"/>
        </w:rPr>
      </w:pPr>
      <w:r w:rsidRPr="00794959">
        <w:rPr>
          <w:b/>
          <w:noProof/>
          <w:color w:val="666666"/>
        </w:rPr>
        <w:drawing>
          <wp:inline distT="0" distB="0" distL="0" distR="0" wp14:anchorId="3D16308C" wp14:editId="17514EBE">
            <wp:extent cx="4544059" cy="3191320"/>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4059" cy="3191320"/>
                    </a:xfrm>
                    <a:prstGeom prst="rect">
                      <a:avLst/>
                    </a:prstGeom>
                  </pic:spPr>
                </pic:pic>
              </a:graphicData>
            </a:graphic>
          </wp:inline>
        </w:drawing>
      </w:r>
    </w:p>
    <w:p w14:paraId="133A28B2" w14:textId="77777777" w:rsidR="00B35220" w:rsidRDefault="00B35220" w:rsidP="00BB1727">
      <w:pPr>
        <w:spacing w:before="240" w:line="271" w:lineRule="auto"/>
        <w:jc w:val="both"/>
        <w:rPr>
          <w:b/>
        </w:rPr>
      </w:pPr>
      <w:bookmarkStart w:id="17" w:name="bm_3_3_3_erreurs_de_régression"/>
      <w:r w:rsidRPr="00B35220">
        <w:t>On obtient donc une courbe pr</w:t>
      </w:r>
      <w:r w:rsidRPr="00B35220">
        <w:t>é</w:t>
      </w:r>
      <w:r w:rsidRPr="00B35220">
        <w:t xml:space="preserve">cision-rappel visible sur la figure </w:t>
      </w:r>
      <w:r w:rsidRPr="00B35220">
        <w:rPr>
          <w:rFonts w:eastAsia="Times New Roman" w:hAnsi="Times New Roman" w:cs="Times New Roman"/>
          <w:szCs w:val="28"/>
        </w:rPr>
        <w:t>3.6</w:t>
      </w:r>
      <w:r w:rsidRPr="00B35220">
        <w:rPr>
          <w:b/>
        </w:rPr>
        <w:t xml:space="preserve"> </w:t>
      </w:r>
    </w:p>
    <w:p w14:paraId="3938001E" w14:textId="77777777" w:rsidR="00B35220" w:rsidRDefault="00B35220" w:rsidP="00BB1727">
      <w:pPr>
        <w:spacing w:before="240" w:line="271" w:lineRule="auto"/>
        <w:jc w:val="both"/>
        <w:rPr>
          <w:rFonts w:eastAsia="Times New Roman" w:hAnsi="Times New Roman" w:cs="Times New Roman"/>
          <w:b/>
          <w:sz w:val="33"/>
        </w:rPr>
      </w:pPr>
      <w:r w:rsidRPr="00B35220">
        <w:rPr>
          <w:rFonts w:eastAsia="Times New Roman" w:hAnsi="Times New Roman" w:cs="Times New Roman"/>
          <w:b/>
          <w:noProof/>
          <w:sz w:val="33"/>
        </w:rPr>
        <w:lastRenderedPageBreak/>
        <w:drawing>
          <wp:inline distT="0" distB="0" distL="0" distR="0" wp14:anchorId="2546875F" wp14:editId="1DC411C5">
            <wp:extent cx="5486400" cy="313118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8107"/>
                    <a:stretch/>
                  </pic:blipFill>
                  <pic:spPr bwMode="auto">
                    <a:xfrm>
                      <a:off x="0" y="0"/>
                      <a:ext cx="5486400" cy="3131185"/>
                    </a:xfrm>
                    <a:prstGeom prst="rect">
                      <a:avLst/>
                    </a:prstGeom>
                    <a:ln>
                      <a:noFill/>
                    </a:ln>
                    <a:extLst>
                      <a:ext uri="{53640926-AAD7-44D8-BBD7-CCE9431645EC}">
                        <a14:shadowObscured xmlns:a14="http://schemas.microsoft.com/office/drawing/2010/main"/>
                      </a:ext>
                    </a:extLst>
                  </pic:spPr>
                </pic:pic>
              </a:graphicData>
            </a:graphic>
          </wp:inline>
        </w:drawing>
      </w:r>
    </w:p>
    <w:p w14:paraId="3469555E" w14:textId="77777777" w:rsidR="00270D0B" w:rsidRPr="00EB2F37" w:rsidRDefault="00BB1727" w:rsidP="00EB2F37">
      <w:pPr>
        <w:pStyle w:val="3"/>
        <w:spacing w:line="360" w:lineRule="auto"/>
        <w:rPr>
          <w:rFonts w:ascii="Times New Roman" w:hAnsi="Times New Roman" w:cs="Times New Roman"/>
          <w:color w:val="auto"/>
          <w:sz w:val="28"/>
          <w:szCs w:val="28"/>
        </w:rPr>
      </w:pPr>
      <w:r w:rsidRPr="00EB2F37">
        <w:rPr>
          <w:rFonts w:ascii="Times New Roman" w:eastAsia="Times New Roman" w:hAnsi="Times New Roman" w:cs="Times New Roman"/>
          <w:color w:val="auto"/>
          <w:sz w:val="28"/>
          <w:szCs w:val="28"/>
        </w:rPr>
        <w:t>3.3.3 Erreurs de régression</w:t>
      </w:r>
      <w:bookmarkEnd w:id="17"/>
    </w:p>
    <w:p w14:paraId="47FCC227" w14:textId="5D700483"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Dans le cas d’un problème de régression, le nombre d’erreurs n’est pas un critère approprié pour évaluer la performance. D’une part, à cause des imprécisions numériques, il est délicat de dire d’une prédiction à valeur réelle si elle est correcte ou non. D’autre part, un modèle dont 50 % des prédictions sont correctes à 0,1 % près et les 50 autres pourcent sont très éloignées des vraies valeurs vaut-il mieux qu’un modèle qui n’est correct qu’à 1 % près, mais pour 100 % des exemples ? Ainsi, on préférera quantifier la performance d’un modèle de régression en fonction de l’écart entre les prédictions et les valeurs réelles.</w:t>
      </w:r>
    </w:p>
    <w:p w14:paraId="46B12530" w14:textId="2D6A09F5"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Un premier critère est donc l'</w:t>
      </w:r>
      <w:r w:rsidR="00BB1727">
        <w:rPr>
          <w:b/>
        </w:rPr>
        <w:t>erreur quadratique moyenne</w:t>
      </w:r>
      <w:r w:rsidR="00BB1727">
        <w:t xml:space="preserve"> :</w:t>
      </w:r>
    </w:p>
    <w:p w14:paraId="14EC862C" w14:textId="580CC9DA" w:rsidR="00270D0B" w:rsidRDefault="00EB2F37" w:rsidP="00BB1727">
      <w:pPr>
        <w:spacing w:after="280"/>
        <w:jc w:val="both"/>
      </w:pPr>
      <w:r>
        <w:rPr>
          <w:b/>
        </w:rPr>
        <w:tab/>
      </w:r>
      <w:r w:rsidR="00BB1727">
        <w:rPr>
          <w:b/>
        </w:rPr>
        <w:t>D</w:t>
      </w:r>
      <w:r w:rsidR="00BB1727">
        <w:rPr>
          <w:b/>
        </w:rPr>
        <w:t>é</w:t>
      </w:r>
      <w:r w:rsidR="00BB1727">
        <w:rPr>
          <w:b/>
        </w:rPr>
        <w:t>finition 3.16 (Erreur quadratique moyenne (MSE))</w:t>
      </w:r>
      <w:r w:rsidR="00B35220">
        <w:t xml:space="preserve"> </w:t>
      </w:r>
      <w:r w:rsidR="00BB1727">
        <w:rPr>
          <w:rFonts w:eastAsia="Times New Roman" w:hAnsi="Times New Roman" w:cs="Times New Roman"/>
        </w:rPr>
        <w:t xml:space="preserve">Étant données </w:t>
      </w:r>
      <m:oMath>
        <m:r>
          <w:rPr>
            <w:rFonts w:ascii="Cambria Math" w:hAnsi="Cambria Math"/>
          </w:rPr>
          <m:t>n</m:t>
        </m:r>
      </m:oMath>
      <w:r w:rsidR="00BB1727">
        <w:rPr>
          <w:rFonts w:eastAsia="Times New Roman" w:hAnsi="Times New Roman" w:cs="Times New Roman"/>
        </w:rPr>
        <w:t xml:space="preserve"> étiquettes réelles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oMath>
      <w:r w:rsidR="00BB1727">
        <w:t xml:space="preserve"> et </w:t>
      </w:r>
      <m:oMath>
        <m:r>
          <w:rPr>
            <w:rFonts w:ascii="Cambria Math" w:hAnsi="Cambria Math"/>
          </w:rPr>
          <m:t>n</m:t>
        </m:r>
      </m:oMath>
      <w:r w:rsidR="00BB1727">
        <w:rPr>
          <w:rFonts w:eastAsia="Times New Roman" w:hAnsi="Times New Roman" w:cs="Times New Roman"/>
        </w:rPr>
        <w:t xml:space="preserve"> prédictions </w:t>
      </w:r>
      <m:oMath>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BB1727">
        <w:t xml:space="preserve">, on appelle </w:t>
      </w:r>
      <w:r w:rsidR="00BB1727">
        <w:rPr>
          <w:b/>
        </w:rPr>
        <w:t>erreur quadratique moyenne</w:t>
      </w:r>
      <w:r w:rsidR="00BB1727">
        <w:t xml:space="preserve">, ou </w:t>
      </w:r>
      <w:r w:rsidR="00BB1727">
        <w:rPr>
          <w:b/>
        </w:rPr>
        <w:t>MSE</w:t>
      </w:r>
      <w:r w:rsidR="00BB1727">
        <w:t xml:space="preserve"> (</w:t>
      </w:r>
      <w:proofErr w:type="spellStart"/>
      <w:r w:rsidR="00BB1727">
        <w:t>Mean</w:t>
      </w:r>
      <w:proofErr w:type="spellEnd"/>
      <w:r w:rsidR="00BB1727">
        <w:t xml:space="preserve"> </w:t>
      </w:r>
      <w:proofErr w:type="spellStart"/>
      <w:r w:rsidR="00BB1727">
        <w:t>Squared</w:t>
      </w:r>
      <w:proofErr w:type="spellEnd"/>
      <w:r w:rsidR="00BB1727">
        <w:t xml:space="preserve"> </w:t>
      </w:r>
      <w:proofErr w:type="spellStart"/>
      <w:r w:rsidR="00BB1727">
        <w:t>Error</w:t>
      </w:r>
      <w:proofErr w:type="spellEnd"/>
      <w:r w:rsidR="00BB1727">
        <w:t>), la valeur :</w:t>
      </w:r>
    </w:p>
    <w:p w14:paraId="50E3F065" w14:textId="77777777" w:rsidR="00270D0B" w:rsidRPr="00BB1727" w:rsidRDefault="00BB1727" w:rsidP="00BB1727">
      <w:pPr>
        <w:spacing w:after="280"/>
        <w:jc w:val="both"/>
        <w:rPr>
          <w:lang w:val="en-US"/>
        </w:rPr>
      </w:pPr>
      <m:oMathPara>
        <m:oMath>
          <m:r>
            <m:rPr>
              <m:nor/>
            </m:rPr>
            <w:rPr>
              <w:lang w:val="en-US"/>
            </w:rPr>
            <m:t>MSE</m:t>
          </m:r>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sz w:val="26"/>
              <w:lang w:val="en-US"/>
            </w:rPr>
            <m:t>(</m:t>
          </m:r>
          <m:r>
            <w:rPr>
              <w:rFonts w:ascii="Cambria Math" w:hAnsi="Cambria Math"/>
            </w:rPr>
            <m:t>f</m:t>
          </m:r>
          <m:r>
            <m:rPr>
              <m:sty m:val="p"/>
            </m:rPr>
            <w:rPr>
              <w:rFonts w:ascii="Cambria Math" w:hAnsi="Cambria Math"/>
              <w:lang w:val="en-US"/>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lang w:val="en-US"/>
            </w:rPr>
            <m:t>)-</m:t>
          </m:r>
          <m:sSup>
            <m:sSupPr>
              <m:ctrlPr>
                <w:rPr>
                  <w:rFonts w:ascii="Cambria Math" w:hAnsi="Cambria Math"/>
                </w:rPr>
              </m:ctrlPr>
            </m:sSupPr>
            <m:e>
              <m:r>
                <w:rPr>
                  <w:rFonts w:ascii="Cambria Math" w:hAnsi="Cambria Math"/>
                </w:rPr>
                <m:t>y</m:t>
              </m:r>
            </m:e>
            <m:sup>
              <m:r>
                <w:rPr>
                  <w:rFonts w:ascii="Cambria Math" w:hAnsi="Cambria Math"/>
                </w:rPr>
                <m:t>i</m:t>
              </m:r>
            </m:sup>
          </m:sSup>
          <m:sSup>
            <m:sSupPr>
              <m:ctrlPr>
                <w:rPr>
                  <w:rFonts w:ascii="Cambria Math" w:hAnsi="Cambria Math"/>
                </w:rPr>
              </m:ctrlPr>
            </m:sSupPr>
            <m:e>
              <m:r>
                <m:rPr>
                  <m:sty m:val="p"/>
                </m:rPr>
                <w:rPr>
                  <w:rFonts w:ascii="Cambria Math" w:hAnsi="Cambria Math"/>
                  <w:sz w:val="26"/>
                  <w:lang w:val="en-US"/>
                </w:rPr>
                <m:t>)</m:t>
              </m:r>
            </m:e>
            <m:sup>
              <m:r>
                <m:rPr>
                  <m:sty m:val="p"/>
                </m:rPr>
                <w:rPr>
                  <w:rFonts w:ascii="Cambria Math" w:hAnsi="Cambria Math"/>
                  <w:lang w:val="en-US"/>
                </w:rPr>
                <m:t>2</m:t>
              </m:r>
            </m:sup>
          </m:sSup>
        </m:oMath>
      </m:oMathPara>
    </w:p>
    <w:p w14:paraId="538A2530" w14:textId="7DA8A5D4" w:rsidR="00270D0B" w:rsidRDefault="00EB2F37" w:rsidP="00BB1727">
      <w:pPr>
        <w:spacing w:after="280"/>
        <w:jc w:val="both"/>
      </w:pPr>
      <w:r w:rsidRPr="00FE78F7">
        <w:rPr>
          <w:rFonts w:eastAsia="Times New Roman" w:hAnsi="Times New Roman" w:cs="Times New Roman"/>
          <w:lang w:val="en-US"/>
        </w:rPr>
        <w:tab/>
      </w:r>
      <w:r w:rsidR="00BB1727">
        <w:rPr>
          <w:rFonts w:eastAsia="Times New Roman" w:hAnsi="Times New Roman" w:cs="Times New Roman"/>
        </w:rPr>
        <w:t>Pour mesurer l'erreur dans la même unité que la cible, on lui préfère souvent sa racine :</w:t>
      </w:r>
    </w:p>
    <w:p w14:paraId="75C17BC0" w14:textId="49EEBCF6" w:rsidR="00270D0B" w:rsidRDefault="00EB2F37" w:rsidP="00BB1727">
      <w:pPr>
        <w:spacing w:after="280"/>
        <w:jc w:val="both"/>
      </w:pPr>
      <w:r>
        <w:rPr>
          <w:b/>
        </w:rPr>
        <w:lastRenderedPageBreak/>
        <w:tab/>
      </w:r>
      <w:r w:rsidR="00BB1727">
        <w:rPr>
          <w:b/>
        </w:rPr>
        <w:t>D</w:t>
      </w:r>
      <w:r w:rsidR="00BB1727">
        <w:rPr>
          <w:b/>
        </w:rPr>
        <w:t>é</w:t>
      </w:r>
      <w:r w:rsidR="00BB1727">
        <w:rPr>
          <w:b/>
        </w:rPr>
        <w:t>finition 3.17 (RMSE)</w:t>
      </w:r>
      <w:r w:rsidR="00B35220">
        <w:t xml:space="preserve"> </w:t>
      </w:r>
      <w:r w:rsidR="00BB1727">
        <w:rPr>
          <w:rFonts w:eastAsia="Times New Roman" w:hAnsi="Times New Roman" w:cs="Times New Roman"/>
        </w:rPr>
        <w:t xml:space="preserve">Étant données </w:t>
      </w:r>
      <m:oMath>
        <m:r>
          <w:rPr>
            <w:rFonts w:ascii="Cambria Math" w:hAnsi="Cambria Math"/>
          </w:rPr>
          <m:t>n</m:t>
        </m:r>
      </m:oMath>
      <w:r w:rsidR="00BB1727">
        <w:rPr>
          <w:rFonts w:eastAsia="Times New Roman" w:hAnsi="Times New Roman" w:cs="Times New Roman"/>
        </w:rPr>
        <w:t xml:space="preserve"> étiquettes réelles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oMath>
      <w:r w:rsidR="00BB1727">
        <w:t xml:space="preserve"> et </w:t>
      </w:r>
      <m:oMath>
        <m:r>
          <w:rPr>
            <w:rFonts w:ascii="Cambria Math" w:hAnsi="Cambria Math"/>
          </w:rPr>
          <m:t>n</m:t>
        </m:r>
      </m:oMath>
      <w:r w:rsidR="00BB1727">
        <w:rPr>
          <w:rFonts w:eastAsia="Times New Roman" w:hAnsi="Times New Roman" w:cs="Times New Roman"/>
        </w:rPr>
        <w:t xml:space="preserve"> prédictions </w:t>
      </w:r>
      <m:oMath>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BB1727">
        <w:t xml:space="preserve">, on appelle </w:t>
      </w:r>
      <w:r w:rsidR="00BB1727">
        <w:rPr>
          <w:b/>
        </w:rPr>
        <w:t>racine de l'erreur quadratique moyenne</w:t>
      </w:r>
      <w:r w:rsidR="00BB1727">
        <w:t xml:space="preserve">, ou </w:t>
      </w:r>
      <w:r w:rsidR="00BB1727">
        <w:rPr>
          <w:b/>
        </w:rPr>
        <w:t>RMSE</w:t>
      </w:r>
      <w:r w:rsidR="00BB1727">
        <w:t xml:space="preserve"> (Root </w:t>
      </w:r>
      <w:proofErr w:type="spellStart"/>
      <w:r w:rsidR="00BB1727">
        <w:t>Mean</w:t>
      </w:r>
      <w:proofErr w:type="spellEnd"/>
      <w:r w:rsidR="00BB1727">
        <w:t xml:space="preserve"> </w:t>
      </w:r>
      <w:proofErr w:type="spellStart"/>
      <w:r w:rsidR="00BB1727">
        <w:t>Squared</w:t>
      </w:r>
      <w:proofErr w:type="spellEnd"/>
      <w:r w:rsidR="00BB1727">
        <w:t xml:space="preserve"> </w:t>
      </w:r>
      <w:proofErr w:type="spellStart"/>
      <w:r w:rsidR="00BB1727">
        <w:t>Error</w:t>
      </w:r>
      <w:proofErr w:type="spellEnd"/>
      <w:r w:rsidR="00BB1727">
        <w:t>), la valeur :</w:t>
      </w:r>
    </w:p>
    <w:p w14:paraId="1AB5625F" w14:textId="77777777" w:rsidR="00270D0B" w:rsidRPr="00BB1727" w:rsidRDefault="00BB1727" w:rsidP="00BB1727">
      <w:pPr>
        <w:spacing w:after="280"/>
        <w:jc w:val="both"/>
        <w:rPr>
          <w:lang w:val="en-US"/>
        </w:rPr>
      </w:pPr>
      <m:oMathPara>
        <m:oMath>
          <m:r>
            <m:rPr>
              <m:nor/>
            </m:rPr>
            <w:rPr>
              <w:lang w:val="en-US"/>
            </w:rPr>
            <m:t>RMSE</m:t>
          </m:r>
          <m:r>
            <m:rPr>
              <m:sty m:val="p"/>
            </m:rPr>
            <w:rPr>
              <w:rFonts w:ascii="Cambria Math" w:hAnsi="Cambria Math"/>
              <w:lang w:val="en-US"/>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lang w:val="en-US"/>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lang w:val="en-US"/>
                </w:rPr>
                <m:t> </m:t>
              </m:r>
              <m:r>
                <m:rPr>
                  <m:sty m:val="p"/>
                </m:rPr>
                <w:rPr>
                  <w:rFonts w:ascii="Cambria Math" w:hAnsi="Cambria Math"/>
                  <w:sz w:val="26"/>
                  <w:lang w:val="en-US"/>
                </w:rPr>
                <m:t>(</m:t>
              </m:r>
              <m:r>
                <w:rPr>
                  <w:rFonts w:ascii="Cambria Math" w:hAnsi="Cambria Math"/>
                </w:rPr>
                <m:t>f</m:t>
              </m:r>
              <m:r>
                <m:rPr>
                  <m:sty m:val="p"/>
                </m:rPr>
                <w:rPr>
                  <w:rFonts w:ascii="Cambria Math" w:hAnsi="Cambria Math"/>
                  <w:lang w:val="en-US"/>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lang w:val="en-US"/>
                </w:rPr>
                <m:t>)-</m:t>
              </m:r>
              <m:sSup>
                <m:sSupPr>
                  <m:ctrlPr>
                    <w:rPr>
                      <w:rFonts w:ascii="Cambria Math" w:hAnsi="Cambria Math"/>
                    </w:rPr>
                  </m:ctrlPr>
                </m:sSupPr>
                <m:e>
                  <m:r>
                    <w:rPr>
                      <w:rFonts w:ascii="Cambria Math" w:hAnsi="Cambria Math"/>
                    </w:rPr>
                    <m:t>y</m:t>
                  </m:r>
                </m:e>
                <m:sup>
                  <m:r>
                    <w:rPr>
                      <w:rFonts w:ascii="Cambria Math" w:hAnsi="Cambria Math"/>
                    </w:rPr>
                    <m:t>i</m:t>
                  </m:r>
                </m:sup>
              </m:sSup>
              <m:sSup>
                <m:sSupPr>
                  <m:ctrlPr>
                    <w:rPr>
                      <w:rFonts w:ascii="Cambria Math" w:hAnsi="Cambria Math"/>
                    </w:rPr>
                  </m:ctrlPr>
                </m:sSupPr>
                <m:e>
                  <m:r>
                    <m:rPr>
                      <m:sty m:val="p"/>
                    </m:rPr>
                    <w:rPr>
                      <w:rFonts w:ascii="Cambria Math" w:hAnsi="Cambria Math"/>
                      <w:sz w:val="26"/>
                      <w:lang w:val="en-US"/>
                    </w:rPr>
                    <m:t>)</m:t>
                  </m:r>
                </m:e>
                <m:sup>
                  <m:r>
                    <m:rPr>
                      <m:sty m:val="p"/>
                    </m:rPr>
                    <w:rPr>
                      <w:rFonts w:ascii="Cambria Math" w:hAnsi="Cambria Math"/>
                      <w:lang w:val="en-US"/>
                    </w:rPr>
                    <m:t>2</m:t>
                  </m:r>
                </m:sup>
              </m:sSup>
            </m:e>
          </m:rad>
        </m:oMath>
      </m:oMathPara>
    </w:p>
    <w:p w14:paraId="3B8BA676" w14:textId="66D40873" w:rsidR="00270D0B" w:rsidRDefault="00EB2F37" w:rsidP="00BB1727">
      <w:pPr>
        <w:spacing w:after="280"/>
        <w:jc w:val="both"/>
      </w:pPr>
      <w:r w:rsidRPr="00FE78F7">
        <w:rPr>
          <w:rFonts w:eastAsia="Times New Roman" w:hAnsi="Times New Roman" w:cs="Times New Roman"/>
          <w:lang w:val="en-US"/>
        </w:rPr>
        <w:tab/>
      </w:r>
      <w:r w:rsidR="00BB1727">
        <w:rPr>
          <w:rFonts w:eastAsia="Times New Roman" w:hAnsi="Times New Roman" w:cs="Times New Roman"/>
        </w:rPr>
        <w:t xml:space="preserve">Dans le cas où les valeurs cibles couvrent plusieurs ordres de grandeur, on préfère parfois passer au log avant de comparer </w:t>
      </w:r>
      <m:oMath>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w:r w:rsidR="00BB1727">
        <w:rPr>
          <w:rFonts w:eastAsia="Times New Roman" w:hAnsi="Times New Roman" w:cs="Times New Roman"/>
        </w:rPr>
        <w:t xml:space="preserve"> à </w:t>
      </w:r>
      <m:oMath>
        <m:sSup>
          <m:sSupPr>
            <m:ctrlPr>
              <w:rPr>
                <w:rFonts w:ascii="Cambria Math" w:hAnsi="Cambria Math"/>
              </w:rPr>
            </m:ctrlPr>
          </m:sSupPr>
          <m:e>
            <m:r>
              <w:rPr>
                <w:rFonts w:ascii="Cambria Math" w:hAnsi="Cambria Math"/>
              </w:rPr>
              <m:t>y</m:t>
            </m:r>
          </m:e>
          <m:sup>
            <m:r>
              <w:rPr>
                <w:rFonts w:ascii="Cambria Math" w:hAnsi="Cambria Math"/>
              </w:rPr>
              <m:t>i</m:t>
            </m:r>
          </m:sup>
        </m:sSup>
      </m:oMath>
      <w:r w:rsidR="00BB1727">
        <w:rPr>
          <w:rFonts w:eastAsia="Times New Roman" w:hAnsi="Times New Roman" w:cs="Times New Roman"/>
        </w:rPr>
        <w:t>, afin de ne pas donner plus d'importance aux erreurs faites pour des valeurs plus élevées.</w:t>
      </w:r>
    </w:p>
    <w:p w14:paraId="777DCF6F" w14:textId="6F5510DF" w:rsidR="00270D0B" w:rsidRDefault="00EB2F37" w:rsidP="00BB1727">
      <w:pPr>
        <w:spacing w:after="280"/>
        <w:jc w:val="both"/>
      </w:pPr>
      <w:r>
        <w:rPr>
          <w:b/>
        </w:rPr>
        <w:tab/>
      </w:r>
      <w:r w:rsidR="00BB1727">
        <w:rPr>
          <w:b/>
        </w:rPr>
        <w:t>D</w:t>
      </w:r>
      <w:r w:rsidR="00BB1727">
        <w:rPr>
          <w:b/>
        </w:rPr>
        <w:t>é</w:t>
      </w:r>
      <w:r w:rsidR="00BB1727">
        <w:rPr>
          <w:b/>
        </w:rPr>
        <w:t>finition 3.18 (RMSLE)</w:t>
      </w:r>
      <w:r w:rsidR="004A35AD">
        <w:t xml:space="preserve"> </w:t>
      </w:r>
      <w:r w:rsidR="00BB1727">
        <w:rPr>
          <w:rFonts w:eastAsia="Times New Roman" w:hAnsi="Times New Roman" w:cs="Times New Roman"/>
        </w:rPr>
        <w:t xml:space="preserve">Étant données </w:t>
      </w:r>
      <m:oMath>
        <m:r>
          <w:rPr>
            <w:rFonts w:ascii="Cambria Math" w:hAnsi="Cambria Math"/>
          </w:rPr>
          <m:t>n</m:t>
        </m:r>
      </m:oMath>
      <w:r w:rsidR="00BB1727">
        <w:rPr>
          <w:rFonts w:eastAsia="Times New Roman" w:hAnsi="Times New Roman" w:cs="Times New Roman"/>
        </w:rPr>
        <w:t xml:space="preserve"> étiquettes réelles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oMath>
      <w:r w:rsidR="00BB1727">
        <w:t xml:space="preserve"> et </w:t>
      </w:r>
      <m:oMath>
        <m:r>
          <w:rPr>
            <w:rFonts w:ascii="Cambria Math" w:hAnsi="Cambria Math"/>
          </w:rPr>
          <m:t>n</m:t>
        </m:r>
      </m:oMath>
      <w:r w:rsidR="00BB1727">
        <w:rPr>
          <w:rFonts w:eastAsia="Times New Roman" w:hAnsi="Times New Roman" w:cs="Times New Roman"/>
        </w:rPr>
        <w:t xml:space="preserve"> prédictions </w:t>
      </w:r>
      <m:oMath>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BB1727">
        <w:t xml:space="preserve">, on appelle </w:t>
      </w:r>
      <w:r w:rsidR="00BB1727">
        <w:rPr>
          <w:b/>
        </w:rPr>
        <w:t>racine du log de l'erreur quadratique moyenne</w:t>
      </w:r>
      <w:r w:rsidR="00BB1727">
        <w:t xml:space="preserve">, ou </w:t>
      </w:r>
      <w:r w:rsidR="00BB1727">
        <w:rPr>
          <w:b/>
        </w:rPr>
        <w:t>RMSLE</w:t>
      </w:r>
      <w:r w:rsidR="00BB1727">
        <w:t xml:space="preserve"> (Root </w:t>
      </w:r>
      <w:proofErr w:type="spellStart"/>
      <w:r w:rsidR="00BB1727">
        <w:t>Mean</w:t>
      </w:r>
      <w:proofErr w:type="spellEnd"/>
      <w:r w:rsidR="00BB1727">
        <w:t xml:space="preserve"> </w:t>
      </w:r>
      <w:proofErr w:type="spellStart"/>
      <w:r w:rsidR="00BB1727">
        <w:t>Squared</w:t>
      </w:r>
      <w:proofErr w:type="spellEnd"/>
      <w:r w:rsidR="00BB1727">
        <w:t xml:space="preserve"> Log </w:t>
      </w:r>
      <w:proofErr w:type="spellStart"/>
      <w:r w:rsidR="00BB1727">
        <w:t>Error</w:t>
      </w:r>
      <w:proofErr w:type="spellEnd"/>
      <w:r w:rsidR="00BB1727">
        <w:t>), la valeur :</w:t>
      </w:r>
    </w:p>
    <w:p w14:paraId="308BDBF9" w14:textId="77777777" w:rsidR="00270D0B" w:rsidRPr="00BB1727" w:rsidRDefault="00BB1727" w:rsidP="00BB1727">
      <w:pPr>
        <w:spacing w:after="280"/>
        <w:jc w:val="both"/>
        <w:rPr>
          <w:lang w:val="en-US"/>
        </w:rPr>
      </w:pPr>
      <m:oMathPara>
        <m:oMath>
          <m:r>
            <m:rPr>
              <m:nor/>
            </m:rPr>
            <w:rPr>
              <w:lang w:val="en-US"/>
            </w:rPr>
            <m:t>RMSLE</m:t>
          </m:r>
          <m:r>
            <m:rPr>
              <m:sty m:val="p"/>
            </m:rPr>
            <w:rPr>
              <w:rFonts w:ascii="Cambria Math" w:hAnsi="Cambria Math"/>
              <w:lang w:val="en-US"/>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lang w:val="en-US"/>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lang w:val="en-US"/>
                </w:rPr>
                <m:t> </m:t>
              </m:r>
              <m:r>
                <m:rPr>
                  <m:sty m:val="p"/>
                </m:rPr>
                <w:rPr>
                  <w:rFonts w:ascii="Cambria Math" w:hAnsi="Cambria Math"/>
                  <w:sz w:val="26"/>
                  <w:lang w:val="en-US"/>
                </w:rPr>
                <m:t>(</m:t>
              </m:r>
              <m:r>
                <m:rPr>
                  <m:sty m:val="p"/>
                </m:rPr>
                <w:rPr>
                  <w:rFonts w:ascii="Cambria Math" w:hAnsi="Cambria Math"/>
                  <w:lang w:val="en-US"/>
                </w:rPr>
                <m:t>log⁡(</m:t>
              </m:r>
              <m:r>
                <w:rPr>
                  <w:rFonts w:ascii="Cambria Math" w:hAnsi="Cambria Math"/>
                </w:rPr>
                <m:t>f</m:t>
              </m:r>
              <m:r>
                <m:rPr>
                  <m:sty m:val="p"/>
                </m:rPr>
                <w:rPr>
                  <w:rFonts w:ascii="Cambria Math" w:hAnsi="Cambria Math"/>
                  <w:lang w:val="en-US"/>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lang w:val="en-US"/>
                </w:rPr>
                <m:t>)+1)-log⁡(</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lang w:val="en-US"/>
                </w:rPr>
                <m:t>+1)</m:t>
              </m:r>
              <m:sSup>
                <m:sSupPr>
                  <m:ctrlPr>
                    <w:rPr>
                      <w:rFonts w:ascii="Cambria Math" w:hAnsi="Cambria Math"/>
                    </w:rPr>
                  </m:ctrlPr>
                </m:sSupPr>
                <m:e>
                  <m:r>
                    <m:rPr>
                      <m:sty m:val="p"/>
                    </m:rPr>
                    <w:rPr>
                      <w:rFonts w:ascii="Cambria Math" w:hAnsi="Cambria Math"/>
                      <w:sz w:val="26"/>
                      <w:lang w:val="en-US"/>
                    </w:rPr>
                    <m:t>)</m:t>
                  </m:r>
                </m:e>
                <m:sup>
                  <m:r>
                    <m:rPr>
                      <m:sty m:val="p"/>
                    </m:rPr>
                    <w:rPr>
                      <w:rFonts w:ascii="Cambria Math" w:hAnsi="Cambria Math"/>
                      <w:lang w:val="en-US"/>
                    </w:rPr>
                    <m:t>2</m:t>
                  </m:r>
                </m:sup>
              </m:sSup>
            </m:e>
          </m:rad>
        </m:oMath>
      </m:oMathPara>
    </w:p>
    <w:p w14:paraId="0082A2AC" w14:textId="025FA1E8" w:rsidR="00270D0B" w:rsidRDefault="00EB2F37" w:rsidP="00BB1727">
      <w:pPr>
        <w:spacing w:after="280"/>
        <w:jc w:val="both"/>
      </w:pPr>
      <w:r w:rsidRPr="00FE78F7">
        <w:rPr>
          <w:rFonts w:eastAsia="Times New Roman" w:hAnsi="Times New Roman" w:cs="Times New Roman"/>
          <w:lang w:val="en-US"/>
        </w:rPr>
        <w:tab/>
      </w:r>
      <w:r w:rsidRPr="00FE78F7">
        <w:rPr>
          <w:rFonts w:eastAsia="Times New Roman" w:hAnsi="Times New Roman" w:cs="Times New Roman"/>
          <w:lang w:val="en-US"/>
        </w:rPr>
        <w:tab/>
      </w:r>
      <w:r w:rsidR="00BB1727">
        <w:rPr>
          <w:rFonts w:eastAsia="Times New Roman" w:hAnsi="Times New Roman" w:cs="Times New Roman"/>
        </w:rPr>
        <w:t>L'interprétation de ces erreurs requiert néanmoins de connaître la distribution des valeurs cibles : une RMSE de 1 cm n'aura pas la même signification selon qu'on essaie de prédire la taille d'humains ou celle de drosophiles. Pour répondre à cela, il est possible de normaliser la somme des carrés des résidus non pas en en faisant la moyenne, mais en la comparant à la somme des distances des valeurs cibles à leur moyenne.</w:t>
      </w:r>
    </w:p>
    <w:p w14:paraId="2EA75157" w14:textId="29D303AB" w:rsidR="00270D0B" w:rsidRDefault="00EB2F37" w:rsidP="00BB1727">
      <w:pPr>
        <w:spacing w:after="280"/>
        <w:jc w:val="both"/>
      </w:pPr>
      <w:r>
        <w:rPr>
          <w:b/>
        </w:rPr>
        <w:tab/>
      </w:r>
      <w:r w:rsidR="00BB1727">
        <w:rPr>
          <w:b/>
        </w:rPr>
        <w:t>D</w:t>
      </w:r>
      <w:r w:rsidR="00BB1727">
        <w:rPr>
          <w:b/>
        </w:rPr>
        <w:t>é</w:t>
      </w:r>
      <w:r w:rsidR="00BB1727">
        <w:rPr>
          <w:b/>
        </w:rPr>
        <w:t>finition 3.19 (Coefficient de d</w:t>
      </w:r>
      <w:r w:rsidR="00BB1727">
        <w:rPr>
          <w:b/>
        </w:rPr>
        <w:t>é</w:t>
      </w:r>
      <w:r w:rsidR="00BB1727">
        <w:rPr>
          <w:b/>
        </w:rPr>
        <w:t>termination)</w:t>
      </w:r>
      <w:r w:rsidR="004A35AD">
        <w:t xml:space="preserve"> </w:t>
      </w:r>
      <w:r w:rsidR="00BB1727">
        <w:rPr>
          <w:rFonts w:eastAsia="Times New Roman" w:hAnsi="Times New Roman" w:cs="Times New Roman"/>
        </w:rPr>
        <w:t xml:space="preserve">Étant données </w:t>
      </w:r>
      <m:oMath>
        <m:r>
          <w:rPr>
            <w:rFonts w:ascii="Cambria Math" w:hAnsi="Cambria Math"/>
          </w:rPr>
          <m:t>n</m:t>
        </m:r>
      </m:oMath>
      <w:r w:rsidR="00BB1727">
        <w:rPr>
          <w:rFonts w:eastAsia="Times New Roman" w:hAnsi="Times New Roman" w:cs="Times New Roman"/>
        </w:rPr>
        <w:t xml:space="preserve"> étiquettes réelles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oMath>
      <w:r w:rsidR="00BB1727">
        <w:t xml:space="preserve"> et </w:t>
      </w:r>
      <m:oMath>
        <m:r>
          <w:rPr>
            <w:rFonts w:ascii="Cambria Math" w:hAnsi="Cambria Math"/>
          </w:rPr>
          <m:t>n</m:t>
        </m:r>
      </m:oMath>
      <w:r w:rsidR="00BB1727">
        <w:rPr>
          <w:rFonts w:eastAsia="Times New Roman" w:hAnsi="Times New Roman" w:cs="Times New Roman"/>
        </w:rPr>
        <w:t xml:space="preserve"> prédictions </w:t>
      </w:r>
      <m:oMath>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BB1727">
        <w:t xml:space="preserve">, on appelle </w:t>
      </w:r>
      <w:r w:rsidR="00BB1727">
        <w:rPr>
          <w:b/>
        </w:rPr>
        <w:t>erreur carr</w:t>
      </w:r>
      <w:r w:rsidR="00BB1727">
        <w:rPr>
          <w:b/>
        </w:rPr>
        <w:t>é</w:t>
      </w:r>
      <w:r w:rsidR="00BB1727">
        <w:rPr>
          <w:b/>
        </w:rPr>
        <w:t>e relative</w:t>
      </w:r>
      <w:r w:rsidR="00BB1727">
        <w:t xml:space="preserve">, ou </w:t>
      </w:r>
      <w:r w:rsidR="00BB1727">
        <w:rPr>
          <w:b/>
        </w:rPr>
        <w:t>RSE</w:t>
      </w:r>
      <w:r w:rsidR="00BB1727">
        <w:t xml:space="preserve"> (Relative </w:t>
      </w:r>
      <w:proofErr w:type="spellStart"/>
      <w:r w:rsidR="00BB1727">
        <w:t>Squared</w:t>
      </w:r>
      <w:proofErr w:type="spellEnd"/>
      <w:r w:rsidR="00BB1727">
        <w:t xml:space="preserve"> </w:t>
      </w:r>
      <w:proofErr w:type="spellStart"/>
      <w:r w:rsidR="00BB1727">
        <w:t>Error</w:t>
      </w:r>
      <w:proofErr w:type="spellEnd"/>
      <w:r w:rsidR="00BB1727">
        <w:t>), la valeur :</w:t>
      </w:r>
    </w:p>
    <w:p w14:paraId="63E83A91" w14:textId="77777777" w:rsidR="00270D0B" w:rsidRPr="00BB1727" w:rsidRDefault="00BB1727" w:rsidP="00BB1727">
      <w:pPr>
        <w:spacing w:after="280"/>
        <w:jc w:val="both"/>
        <w:rPr>
          <w:lang w:val="en-US"/>
        </w:rPr>
      </w:pPr>
      <m:oMathPara>
        <m:oMath>
          <m:r>
            <m:rPr>
              <m:nor/>
            </m:rPr>
            <w:rPr>
              <w:lang w:val="en-US"/>
            </w:rPr>
            <m:t>RSE</m:t>
          </m:r>
          <m:r>
            <m:rPr>
              <m:sty m:val="p"/>
            </m:rPr>
            <w:rPr>
              <w:rFonts w:ascii="Cambria Math" w:hAnsi="Cambria Math"/>
              <w:lang w:val="en-US"/>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lang w:val="en-US"/>
                </w:rPr>
                <m:t> </m:t>
              </m:r>
              <m:r>
                <m:rPr>
                  <m:sty m:val="p"/>
                </m:rPr>
                <w:rPr>
                  <w:rFonts w:ascii="Cambria Math" w:hAnsi="Cambria Math"/>
                  <w:sz w:val="26"/>
                  <w:lang w:val="en-US"/>
                </w:rPr>
                <m:t>(</m:t>
              </m:r>
              <m:r>
                <w:rPr>
                  <w:rFonts w:ascii="Cambria Math" w:hAnsi="Cambria Math"/>
                </w:rPr>
                <m:t>f</m:t>
              </m:r>
              <m:r>
                <m:rPr>
                  <m:sty m:val="p"/>
                </m:rPr>
                <w:rPr>
                  <w:rFonts w:ascii="Cambria Math" w:hAnsi="Cambria Math"/>
                  <w:lang w:val="en-US"/>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lang w:val="en-US"/>
                </w:rPr>
                <m:t>)-</m:t>
              </m:r>
              <m:sSup>
                <m:sSupPr>
                  <m:ctrlPr>
                    <w:rPr>
                      <w:rFonts w:ascii="Cambria Math" w:hAnsi="Cambria Math"/>
                    </w:rPr>
                  </m:ctrlPr>
                </m:sSupPr>
                <m:e>
                  <m:r>
                    <w:rPr>
                      <w:rFonts w:ascii="Cambria Math" w:hAnsi="Cambria Math"/>
                    </w:rPr>
                    <m:t>y</m:t>
                  </m:r>
                </m:e>
                <m:sup>
                  <m:r>
                    <w:rPr>
                      <w:rFonts w:ascii="Cambria Math" w:hAnsi="Cambria Math"/>
                    </w:rPr>
                    <m:t>i</m:t>
                  </m:r>
                </m:sup>
              </m:sSup>
              <m:sSup>
                <m:sSupPr>
                  <m:ctrlPr>
                    <w:rPr>
                      <w:rFonts w:ascii="Cambria Math" w:hAnsi="Cambria Math"/>
                    </w:rPr>
                  </m:ctrlPr>
                </m:sSupPr>
                <m:e>
                  <m:r>
                    <m:rPr>
                      <m:sty m:val="p"/>
                    </m:rPr>
                    <w:rPr>
                      <w:rFonts w:ascii="Cambria Math" w:hAnsi="Cambria Math"/>
                      <w:sz w:val="26"/>
                      <w:lang w:val="en-US"/>
                    </w:rPr>
                    <m:t>)</m:t>
                  </m:r>
                </m:e>
                <m:sup>
                  <m:r>
                    <m:rPr>
                      <m:sty m:val="p"/>
                    </m:rPr>
                    <w:rPr>
                      <w:rFonts w:ascii="Cambria Math" w:hAnsi="Cambria Math"/>
                      <w:lang w:val="en-US"/>
                    </w:rPr>
                    <m:t>2</m:t>
                  </m:r>
                </m:sup>
              </m:sSup>
            </m:num>
            <m:den>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lang w:val="en-US"/>
                </w:rPr>
                <m:t> </m:t>
              </m:r>
              <m:r>
                <m:rPr>
                  <m:sty m:val="p"/>
                </m:rPr>
                <w:rPr>
                  <w:rFonts w:ascii="Cambria Math" w:hAnsi="Cambria Math"/>
                  <w:sz w:val="26"/>
                  <w:lang w:val="en-US"/>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1</m:t>
                  </m:r>
                </m:num>
                <m:den>
                  <m:r>
                    <w:rPr>
                      <w:rFonts w:ascii="Cambria Math" w:hAnsi="Cambria Math"/>
                    </w:rPr>
                    <m:t>n</m:t>
                  </m:r>
                </m:den>
              </m:f>
              <m:nary>
                <m:naryPr>
                  <m:chr m:val="∑"/>
                  <m:limLoc m:val="undOvr"/>
                  <m:grow m:val="1"/>
                  <m:ctrlPr>
                    <w:rPr>
                      <w:rFonts w:ascii="Cambria Math" w:hAnsi="Cambria Math"/>
                    </w:rPr>
                  </m:ctrlPr>
                </m:naryPr>
                <m:sub>
                  <m:r>
                    <m:rPr>
                      <m:scr m:val="script"/>
                    </m:rPr>
                    <w:rPr>
                      <w:rFonts w:ascii="Cambria Math" w:hAnsi="Cambria Math"/>
                      <w:lang w:val="en-US"/>
                    </w:rPr>
                    <m:t>l</m:t>
                  </m:r>
                  <m:r>
                    <m:rPr>
                      <m:sty m:val="p"/>
                    </m:rPr>
                    <w:rPr>
                      <w:rFonts w:ascii="Cambria Math" w:hAnsi="Cambria Math"/>
                      <w:lang w:val="en-US"/>
                    </w:rPr>
                    <m:t>=1</m:t>
                  </m:r>
                </m:sub>
                <m:sup>
                  <m:r>
                    <w:rPr>
                      <w:rFonts w:ascii="Cambria Math" w:hAnsi="Cambria Math"/>
                    </w:rPr>
                    <m:t>n</m:t>
                  </m:r>
                </m:sup>
                <m:e>
                  <m:r>
                    <m:rPr>
                      <m:sty m:val="p"/>
                    </m:rPr>
                    <w:rPr>
                      <w:rFonts w:ascii="Cambria Math" w:hAnsi="Cambria Math"/>
                      <w:lang w:val="en-US"/>
                    </w:rPr>
                    <m:t> </m:t>
                  </m:r>
                </m:e>
              </m:nary>
              <m:r>
                <m:rPr>
                  <m:sty m:val="p"/>
                </m:rPr>
                <w:rPr>
                  <w:rFonts w:ascii="Cambria Math" w:hAnsi="Cambria Math"/>
                  <w:lang w:val="en-US"/>
                </w:rPr>
                <m:t> </m:t>
              </m:r>
              <m:sSup>
                <m:sSupPr>
                  <m:ctrlPr>
                    <w:rPr>
                      <w:rFonts w:ascii="Cambria Math" w:hAnsi="Cambria Math"/>
                    </w:rPr>
                  </m:ctrlPr>
                </m:sSupPr>
                <m:e>
                  <m:r>
                    <w:rPr>
                      <w:rFonts w:ascii="Cambria Math" w:hAnsi="Cambria Math"/>
                    </w:rPr>
                    <m:t>y</m:t>
                  </m:r>
                </m:e>
                <m:sup>
                  <m:r>
                    <m:rPr>
                      <m:scr m:val="script"/>
                    </m:rPr>
                    <w:rPr>
                      <w:rFonts w:ascii="Cambria Math" w:hAnsi="Cambria Math"/>
                      <w:lang w:val="en-US"/>
                    </w:rPr>
                    <m:t>l</m:t>
                  </m:r>
                </m:sup>
              </m:sSup>
              <m:sSup>
                <m:sSupPr>
                  <m:ctrlPr>
                    <w:rPr>
                      <w:rFonts w:ascii="Cambria Math" w:hAnsi="Cambria Math"/>
                    </w:rPr>
                  </m:ctrlPr>
                </m:sSupPr>
                <m:e>
                  <m:r>
                    <m:rPr>
                      <m:sty m:val="p"/>
                    </m:rPr>
                    <w:rPr>
                      <w:rFonts w:ascii="Cambria Math" w:hAnsi="Cambria Math"/>
                      <w:sz w:val="26"/>
                      <w:lang w:val="en-US"/>
                    </w:rPr>
                    <m:t>)</m:t>
                  </m:r>
                </m:e>
                <m:sup>
                  <m:r>
                    <m:rPr>
                      <m:sty m:val="p"/>
                    </m:rPr>
                    <w:rPr>
                      <w:rFonts w:ascii="Cambria Math" w:hAnsi="Cambria Math"/>
                      <w:lang w:val="en-US"/>
                    </w:rPr>
                    <m:t>2</m:t>
                  </m:r>
                </m:sup>
              </m:sSup>
            </m:den>
          </m:f>
        </m:oMath>
      </m:oMathPara>
    </w:p>
    <w:p w14:paraId="5F1BA859" w14:textId="1F408E6B" w:rsidR="00270D0B" w:rsidRDefault="00EB2F37" w:rsidP="00BB1727">
      <w:pPr>
        <w:spacing w:after="280"/>
        <w:jc w:val="both"/>
      </w:pPr>
      <w:r w:rsidRPr="00FE78F7">
        <w:rPr>
          <w:rFonts w:eastAsia="Times New Roman" w:hAnsi="Times New Roman" w:cs="Times New Roman"/>
          <w:lang w:val="en-US"/>
        </w:rPr>
        <w:lastRenderedPageBreak/>
        <w:tab/>
      </w:r>
      <w:r w:rsidR="00BB1727">
        <w:rPr>
          <w:rFonts w:eastAsia="Times New Roman" w:hAnsi="Times New Roman" w:cs="Times New Roman"/>
        </w:rPr>
        <w:t xml:space="preserve">Le complémentaire à 1 de la RSE est le </w:t>
      </w:r>
      <w:r w:rsidR="00BB1727">
        <w:rPr>
          <w:b/>
        </w:rPr>
        <w:t>coefficient de d</w:t>
      </w:r>
      <w:r w:rsidR="00BB1727">
        <w:rPr>
          <w:b/>
        </w:rPr>
        <w:t>é</w:t>
      </w:r>
      <w:r w:rsidR="00BB1727">
        <w:rPr>
          <w:b/>
        </w:rPr>
        <w:t>termination</w:t>
      </w:r>
      <w:r w:rsidR="00BB1727">
        <w:rPr>
          <w:rFonts w:eastAsia="Times New Roman" w:hAnsi="Times New Roman" w:cs="Times New Roman"/>
        </w:rPr>
        <w:t xml:space="preserve">, noté </w:t>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rsidR="00BB1727">
        <w:t>.</w:t>
      </w:r>
    </w:p>
    <w:p w14:paraId="4316546B" w14:textId="0AA45A71"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On note le coefficient de détermination </w:t>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rsidR="00BB1727">
        <w:rPr>
          <w:rFonts w:eastAsia="Times New Roman" w:hAnsi="Times New Roman" w:cs="Times New Roman"/>
        </w:rPr>
        <w:t xml:space="preserve"> car il s'agit du carré du coefficient de corrélation entre </w:t>
      </w:r>
      <m:oMath>
        <m:acc>
          <m:accPr>
            <m:chr m:val="⃗"/>
            <m:ctrlPr>
              <w:rPr>
                <w:rFonts w:ascii="Cambria Math" w:hAnsi="Cambria Math"/>
              </w:rPr>
            </m:ctrlPr>
          </m:accPr>
          <m:e>
            <m:r>
              <w:rPr>
                <w:rFonts w:ascii="Cambria Math" w:hAnsi="Cambria Math"/>
              </w:rPr>
              <m:t>y</m:t>
            </m:r>
          </m:e>
        </m:acc>
      </m:oMath>
      <w:r w:rsidR="00BB1727">
        <w:t xml:space="preserve"> et </w:t>
      </w:r>
      <m:oMath>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BB1727">
        <w:rPr>
          <w:rFonts w:eastAsia="Times New Roman" w:hAnsi="Times New Roman" w:cs="Times New Roman"/>
        </w:rPr>
        <w:t xml:space="preserve"> donné par :</w:t>
      </w:r>
    </w:p>
    <w:p w14:paraId="4AB170E6" w14:textId="77777777" w:rsidR="00270D0B" w:rsidRDefault="00BB1727" w:rsidP="00BB1727">
      <w:pPr>
        <w:spacing w:after="280"/>
        <w:jc w:val="both"/>
      </w:pPr>
      <m:oMathPara>
        <m:oMath>
          <m:r>
            <w:rPr>
              <w:rFonts w:ascii="Cambria Math" w:hAnsi="Cambria Math"/>
            </w:rPr>
            <m:t>R</m:t>
          </m:r>
          <m:r>
            <m:rPr>
              <m:sty m:val="p"/>
            </m:rP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m:rPr>
                          <m:scr m:val="script"/>
                        </m:rPr>
                        <w:rPr>
                          <w:rFonts w:ascii="Cambria Math" w:hAnsi="Cambria Math"/>
                        </w:rPr>
                        <m:t>l</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p>
                    <m:sSupPr>
                      <m:ctrlPr>
                        <w:rPr>
                          <w:rFonts w:ascii="Cambria Math" w:hAnsi="Cambria Math"/>
                        </w:rPr>
                      </m:ctrlPr>
                    </m:sSupPr>
                    <m:e>
                      <m:r>
                        <w:rPr>
                          <w:rFonts w:ascii="Cambria Math" w:hAnsi="Cambria Math"/>
                        </w:rPr>
                        <m:t>y</m:t>
                      </m:r>
                    </m:e>
                    <m:sup>
                      <m:r>
                        <m:rPr>
                          <m:scr m:val="script"/>
                        </m:rPr>
                        <w:rPr>
                          <w:rFonts w:ascii="Cambria Math" w:hAnsi="Cambria Math"/>
                        </w:rPr>
                        <m:t>l</m:t>
                      </m:r>
                    </m:sup>
                  </m:sSup>
                </m:e>
              </m:d>
              <m:d>
                <m:dPr>
                  <m:ctrlPr>
                    <w:rPr>
                      <w:rFonts w:ascii="Cambria Math" w:hAnsi="Cambria Math"/>
                    </w:rPr>
                  </m:ctrlPr>
                </m:dPr>
                <m:e>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m:rPr>
                          <m:scr m:val="script"/>
                        </m:rPr>
                        <w:rPr>
                          <w:rFonts w:ascii="Cambria Math" w:hAnsi="Cambria Math"/>
                        </w:rPr>
                        <m:t>l</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cr m:val="script"/>
                        </m:rPr>
                        <w:rPr>
                          <w:rFonts w:ascii="Cambria Math" w:hAnsi="Cambria Math"/>
                        </w:rPr>
                        <m:t>l</m:t>
                      </m:r>
                    </m:sup>
                  </m:sSup>
                  <m:r>
                    <m:rPr>
                      <m:sty m:val="p"/>
                    </m:rPr>
                    <w:rPr>
                      <w:rFonts w:ascii="Cambria Math" w:hAnsi="Cambria Math"/>
                    </w:rPr>
                    <m:t>)</m:t>
                  </m:r>
                </m:e>
              </m:d>
            </m:num>
            <m:den>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m:rPr>
                                  <m:scr m:val="script"/>
                                </m:rPr>
                                <w:rPr>
                                  <w:rFonts w:ascii="Cambria Math" w:hAnsi="Cambria Math"/>
                                </w:rPr>
                                <m:t>l</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p>
                            <m:sSupPr>
                              <m:ctrlPr>
                                <w:rPr>
                                  <w:rFonts w:ascii="Cambria Math" w:hAnsi="Cambria Math"/>
                                </w:rPr>
                              </m:ctrlPr>
                            </m:sSupPr>
                            <m:e>
                              <m:r>
                                <w:rPr>
                                  <w:rFonts w:ascii="Cambria Math" w:hAnsi="Cambria Math"/>
                                </w:rPr>
                                <m:t>y</m:t>
                              </m:r>
                            </m:e>
                            <m:sup>
                              <m:r>
                                <m:rPr>
                                  <m:scr m:val="script"/>
                                </m:rPr>
                                <w:rPr>
                                  <w:rFonts w:ascii="Cambria Math" w:hAnsi="Cambria Math"/>
                                </w:rPr>
                                <m:t>l</m:t>
                              </m:r>
                            </m:sup>
                          </m:sSup>
                        </m:e>
                      </m:d>
                    </m:e>
                    <m:sup>
                      <m:r>
                        <m:rPr>
                          <m:sty m:val="p"/>
                        </m:rPr>
                        <w:rPr>
                          <w:rFonts w:ascii="Cambria Math" w:hAnsi="Cambria Math"/>
                        </w:rPr>
                        <m:t>2</m:t>
                      </m:r>
                    </m:sup>
                  </m:sSup>
                </m:e>
              </m:rad>
              <m:r>
                <m:rPr>
                  <m:sty m:val="p"/>
                </m:rPr>
                <w:rPr>
                  <w:rFonts w:ascii="Cambria Math" w:hAnsi="Cambria Math"/>
                </w:rPr>
                <m:t xml:space="preserve"> </m:t>
              </m:r>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p>
                    <m:sSupPr>
                      <m:ctrlPr>
                        <w:rPr>
                          <w:rFonts w:ascii="Cambria Math" w:hAnsi="Cambria Math"/>
                        </w:rPr>
                      </m:ctrlPr>
                    </m:sSupPr>
                    <m:e>
                      <m:d>
                        <m:dPr>
                          <m:ctrlPr>
                            <w:rPr>
                              <w:rFonts w:ascii="Cambria Math" w:hAnsi="Cambria Math"/>
                            </w:rPr>
                          </m:ctrlPr>
                        </m:dPr>
                        <m:e>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m:rPr>
                                  <m:scr m:val="script"/>
                                </m:rPr>
                                <w:rPr>
                                  <w:rFonts w:ascii="Cambria Math" w:hAnsi="Cambria Math"/>
                                </w:rPr>
                                <m:t>l</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r>
                            <w:rPr>
                              <w:rFonts w:ascii="Cambria Math" w:hAnsi="Cambria Math"/>
                            </w:rPr>
                            <m:t>f</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cr m:val="script"/>
                                </m:rPr>
                                <w:rPr>
                                  <w:rFonts w:ascii="Cambria Math" w:hAnsi="Cambria Math"/>
                                </w:rPr>
                                <m:t>l</m:t>
                              </m:r>
                            </m:sup>
                          </m:sSup>
                          <m:r>
                            <m:rPr>
                              <m:sty m:val="p"/>
                            </m:rPr>
                            <w:rPr>
                              <w:rFonts w:ascii="Cambria Math" w:hAnsi="Cambria Math"/>
                            </w:rPr>
                            <m:t>)</m:t>
                          </m:r>
                        </m:e>
                      </m:d>
                    </m:e>
                    <m:sup>
                      <m:r>
                        <m:rPr>
                          <m:sty m:val="p"/>
                        </m:rPr>
                        <w:rPr>
                          <w:rFonts w:ascii="Cambria Math" w:hAnsi="Cambria Math"/>
                        </w:rPr>
                        <m:t>2</m:t>
                      </m:r>
                    </m:sup>
                  </m:sSup>
                </m:e>
              </m:rad>
            </m:den>
          </m:f>
          <m:r>
            <m:rPr>
              <m:sty m:val="p"/>
            </m:rPr>
            <w:rPr>
              <w:rFonts w:ascii="Cambria Math" w:hAnsi="Cambria Math"/>
            </w:rPr>
            <m:t xml:space="preserve"> (3.2)</m:t>
          </m:r>
        </m:oMath>
      </m:oMathPara>
    </w:p>
    <w:p w14:paraId="14451434" w14:textId="5E2E6409"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Ce coefficient indique à quel point les valeurs prédites sont corrélées aux valeurs réelles ; attention, il sera élevé aussi si elles leur sont anti-corrélées.</w:t>
      </w:r>
    </w:p>
    <w:p w14:paraId="3924D0E7" w14:textId="77777777" w:rsidR="00270D0B" w:rsidRPr="00EB2F37" w:rsidRDefault="00BB1727" w:rsidP="00EB2F37">
      <w:pPr>
        <w:pStyle w:val="3"/>
        <w:rPr>
          <w:rFonts w:ascii="Times New Roman" w:hAnsi="Times New Roman" w:cs="Times New Roman"/>
          <w:b/>
          <w:bCs/>
          <w:color w:val="auto"/>
          <w:sz w:val="28"/>
          <w:szCs w:val="28"/>
        </w:rPr>
      </w:pPr>
      <w:bookmarkStart w:id="18" w:name="bm_3_3_4_comparaison_à_des_algori_eb9f2b"/>
      <w:r w:rsidRPr="00EB2F37">
        <w:rPr>
          <w:rFonts w:ascii="Times New Roman" w:eastAsia="Times New Roman" w:hAnsi="Times New Roman" w:cs="Times New Roman"/>
          <w:b/>
          <w:bCs/>
          <w:color w:val="auto"/>
          <w:sz w:val="28"/>
          <w:szCs w:val="28"/>
        </w:rPr>
        <w:t>3.3.4 Comparaison à des algorithmes naïfs</w:t>
      </w:r>
      <w:bookmarkEnd w:id="18"/>
    </w:p>
    <w:p w14:paraId="546F08BB" w14:textId="34C095F2"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Pour construire un modèle de machine </w:t>
      </w:r>
      <w:proofErr w:type="spellStart"/>
      <w:r w:rsidR="00BB1727">
        <w:rPr>
          <w:rFonts w:eastAsia="Times New Roman" w:hAnsi="Times New Roman" w:cs="Times New Roman"/>
        </w:rPr>
        <w:t>learning</w:t>
      </w:r>
      <w:proofErr w:type="spellEnd"/>
      <w:r w:rsidR="00BB1727">
        <w:rPr>
          <w:rFonts w:eastAsia="Times New Roman" w:hAnsi="Times New Roman" w:cs="Times New Roman"/>
        </w:rPr>
        <w:t>, nous nous appuyons d'une part sur les données, et d'autre part sur des hypothèses quant à la forme de ce modèle ; ces hypothèses déterminent l'espace des hypothèses. La validité de ces hypothèses dépend du problème étudié. Ce problème peut être plus ou moins facile, et la performance d'un modèle que nous avons entraîné ne peut être interprétée qu'à la lueur de cette difficulté.</w:t>
      </w:r>
    </w:p>
    <w:p w14:paraId="42AECD78" w14:textId="5B45353C"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 xml:space="preserve">Pour la déterminer, il peut être très utile d'utiliser des approches d'apprentissage </w:t>
      </w:r>
      <w:r w:rsidR="00BB1727">
        <w:rPr>
          <w:b/>
        </w:rPr>
        <w:t>na</w:t>
      </w:r>
      <w:r w:rsidR="00BB1727">
        <w:rPr>
          <w:b/>
        </w:rPr>
        <w:t>ï</w:t>
      </w:r>
      <w:r w:rsidR="00BB1727">
        <w:rPr>
          <w:b/>
        </w:rPr>
        <w:t>ves</w:t>
      </w:r>
      <w:r w:rsidR="00BB1727">
        <w:rPr>
          <w:rFonts w:eastAsia="Times New Roman" w:hAnsi="Times New Roman" w:cs="Times New Roman"/>
        </w:rPr>
        <w:t>, autrement dit très simples, qui utilisent certaines propriétés du jeu d'entraînement mais pas de l'observation à étiqueter. Nous n'attendons pas de bonnes performances de ces méthodes mais elles servent d'étalon pour mieux comprendre les performances mesurées par ailleurs, en nous indiquant le « strict minimum » que l'on peut attendre de nos modèles.</w:t>
      </w:r>
    </w:p>
    <w:p w14:paraId="470D3EC6" w14:textId="77777777" w:rsidR="00270D0B" w:rsidRDefault="00BB1727" w:rsidP="00BB1727">
      <w:pPr>
        <w:spacing w:before="240" w:line="271" w:lineRule="auto"/>
        <w:jc w:val="both"/>
      </w:pPr>
      <w:bookmarkStart w:id="19" w:name="méthodes_naïves_pour_la_classification"/>
      <w:r>
        <w:rPr>
          <w:rFonts w:eastAsia="Times New Roman" w:hAnsi="Times New Roman" w:cs="Times New Roman"/>
          <w:b/>
        </w:rPr>
        <w:t>Méthodes naïves pour la classification</w:t>
      </w:r>
      <w:bookmarkEnd w:id="19"/>
    </w:p>
    <w:p w14:paraId="622E0506" w14:textId="2AABFACC"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Pour un problème de classification, on peut par exemple considérer une des approches suivantes</w:t>
      </w:r>
      <w:r>
        <w:rPr>
          <w:rFonts w:eastAsia="Times New Roman" w:hAnsi="Times New Roman" w:cs="Times New Roman"/>
        </w:rPr>
        <w:t> </w:t>
      </w:r>
      <w:r w:rsidR="00BB1727">
        <w:rPr>
          <w:rFonts w:eastAsia="Times New Roman" w:hAnsi="Times New Roman" w:cs="Times New Roman"/>
        </w:rPr>
        <w:t>:</w:t>
      </w:r>
    </w:p>
    <w:p w14:paraId="1A83A1E1" w14:textId="7525B299" w:rsidR="00270D0B" w:rsidRDefault="00BB1727" w:rsidP="00BB1727">
      <w:pPr>
        <w:numPr>
          <w:ilvl w:val="0"/>
          <w:numId w:val="6"/>
        </w:numPr>
        <w:jc w:val="both"/>
      </w:pPr>
      <w:r>
        <w:rPr>
          <w:rFonts w:eastAsia="Times New Roman" w:hAnsi="Times New Roman" w:cs="Times New Roman"/>
        </w:rPr>
        <w:t>Prédire systématiquement l</w:t>
      </w:r>
      <w:r w:rsidR="00EB2F37">
        <w:rPr>
          <w:rFonts w:eastAsia="Times New Roman" w:hAnsi="Times New Roman" w:cs="Times New Roman"/>
        </w:rPr>
        <w:t>’</w:t>
      </w:r>
      <w:r>
        <w:rPr>
          <w:rFonts w:eastAsia="Times New Roman" w:hAnsi="Times New Roman" w:cs="Times New Roman"/>
        </w:rPr>
        <w:t>étiquette majoritaire dans le jeu d</w:t>
      </w:r>
      <w:r w:rsidR="00EB2F37">
        <w:rPr>
          <w:rFonts w:eastAsia="Times New Roman" w:hAnsi="Times New Roman" w:cs="Times New Roman"/>
        </w:rPr>
        <w:t>’</w:t>
      </w:r>
      <w:r>
        <w:rPr>
          <w:rFonts w:eastAsia="Times New Roman" w:hAnsi="Times New Roman" w:cs="Times New Roman"/>
        </w:rPr>
        <w:t>entraînement.</w:t>
      </w:r>
    </w:p>
    <w:p w14:paraId="46E60164" w14:textId="6615F20B" w:rsidR="00270D0B" w:rsidRDefault="00BB1727" w:rsidP="00BB1727">
      <w:pPr>
        <w:numPr>
          <w:ilvl w:val="0"/>
          <w:numId w:val="6"/>
        </w:numPr>
        <w:jc w:val="both"/>
      </w:pPr>
      <w:r>
        <w:rPr>
          <w:rFonts w:eastAsia="Times New Roman" w:hAnsi="Times New Roman" w:cs="Times New Roman"/>
        </w:rPr>
        <w:t>Prédire une étiquette aléatoire, selon la distribution des étiquettes dans le jeu d</w:t>
      </w:r>
      <w:r w:rsidR="00EB2F37">
        <w:rPr>
          <w:rFonts w:eastAsia="Times New Roman" w:hAnsi="Times New Roman" w:cs="Times New Roman"/>
        </w:rPr>
        <w:t>’</w:t>
      </w:r>
      <w:r>
        <w:rPr>
          <w:rFonts w:eastAsia="Times New Roman" w:hAnsi="Times New Roman" w:cs="Times New Roman"/>
        </w:rPr>
        <w:t>entraînement.</w:t>
      </w:r>
    </w:p>
    <w:p w14:paraId="00D02C34" w14:textId="63917105" w:rsidR="00270D0B" w:rsidRDefault="00BB1727" w:rsidP="00BB1727">
      <w:pPr>
        <w:numPr>
          <w:ilvl w:val="0"/>
          <w:numId w:val="6"/>
        </w:numPr>
        <w:jc w:val="both"/>
      </w:pPr>
      <w:r>
        <w:rPr>
          <w:rFonts w:eastAsia="Times New Roman" w:hAnsi="Times New Roman" w:cs="Times New Roman"/>
        </w:rPr>
        <w:lastRenderedPageBreak/>
        <w:t>Dans le cas d</w:t>
      </w:r>
      <w:r w:rsidR="00EB2F37">
        <w:rPr>
          <w:rFonts w:eastAsia="Times New Roman" w:hAnsi="Times New Roman" w:cs="Times New Roman"/>
        </w:rPr>
        <w:t>’</w:t>
      </w:r>
      <w:r>
        <w:rPr>
          <w:rFonts w:eastAsia="Times New Roman" w:hAnsi="Times New Roman" w:cs="Times New Roman"/>
        </w:rPr>
        <w:t>une classification binaire, prédire des scores de manière uniforme avant de les seuiller. Cette méthode est plus recommandée si l</w:t>
      </w:r>
      <w:r w:rsidR="00EB2F37">
        <w:rPr>
          <w:rFonts w:eastAsia="Times New Roman" w:hAnsi="Times New Roman" w:cs="Times New Roman"/>
        </w:rPr>
        <w:t>’</w:t>
      </w:r>
      <w:r>
        <w:rPr>
          <w:rFonts w:eastAsia="Times New Roman" w:hAnsi="Times New Roman" w:cs="Times New Roman"/>
        </w:rPr>
        <w:t>on cherche à tracer des courbes ROC ou PR.</w:t>
      </w:r>
    </w:p>
    <w:p w14:paraId="4D3C7652" w14:textId="526BC7E0" w:rsidR="00270D0B" w:rsidRPr="00EB2F37" w:rsidRDefault="00BB1727" w:rsidP="00BB1727">
      <w:pPr>
        <w:spacing w:after="280"/>
        <w:ind w:left="840"/>
        <w:jc w:val="both"/>
      </w:pPr>
      <w:r w:rsidRPr="00EB2F37">
        <w:rPr>
          <w:b/>
        </w:rPr>
        <w:t>Remarque</w:t>
      </w:r>
      <w:r w:rsidRPr="00EB2F37">
        <w:br/>
      </w:r>
      <w:r w:rsidRPr="00EB2F37">
        <w:rPr>
          <w:rFonts w:eastAsia="Times New Roman" w:hAnsi="Times New Roman" w:cs="Times New Roman"/>
        </w:rPr>
        <w:t>Si le jeu d</w:t>
      </w:r>
      <w:r w:rsidR="00EB2F37">
        <w:rPr>
          <w:rFonts w:eastAsia="Times New Roman" w:hAnsi="Times New Roman" w:cs="Times New Roman"/>
        </w:rPr>
        <w:t>’</w:t>
      </w:r>
      <w:r w:rsidRPr="00EB2F37">
        <w:rPr>
          <w:rFonts w:eastAsia="Times New Roman" w:hAnsi="Times New Roman" w:cs="Times New Roman"/>
        </w:rPr>
        <w:t>entraînement est déséquilibré, c</w:t>
      </w:r>
      <w:r w:rsidR="00EB2F37">
        <w:rPr>
          <w:rFonts w:eastAsia="Times New Roman" w:hAnsi="Times New Roman" w:cs="Times New Roman"/>
        </w:rPr>
        <w:t>’</w:t>
      </w:r>
      <w:r w:rsidRPr="00EB2F37">
        <w:rPr>
          <w:rFonts w:eastAsia="Times New Roman" w:hAnsi="Times New Roman" w:cs="Times New Roman"/>
        </w:rPr>
        <w:t>est-à-dire qu</w:t>
      </w:r>
      <w:r w:rsidR="00EB2F37">
        <w:rPr>
          <w:rFonts w:eastAsia="Times New Roman" w:hAnsi="Times New Roman" w:cs="Times New Roman"/>
        </w:rPr>
        <w:t>’</w:t>
      </w:r>
      <w:r w:rsidRPr="00EB2F37">
        <w:rPr>
          <w:rFonts w:eastAsia="Times New Roman" w:hAnsi="Times New Roman" w:cs="Times New Roman"/>
        </w:rPr>
        <w:t>une classe y est largement plus présente que les autres, le premier algorithme naïf que nous décrivons peut avoir un taux d</w:t>
      </w:r>
      <w:r w:rsidR="00EB2F37">
        <w:rPr>
          <w:rFonts w:eastAsia="Times New Roman" w:hAnsi="Times New Roman" w:cs="Times New Roman"/>
        </w:rPr>
        <w:t>’</w:t>
      </w:r>
      <w:r w:rsidRPr="00EB2F37">
        <w:rPr>
          <w:rFonts w:eastAsia="Times New Roman" w:hAnsi="Times New Roman" w:cs="Times New Roman"/>
        </w:rPr>
        <w:t>erreur très faible. Il faudra aussi prendre en compte la spécificité de l</w:t>
      </w:r>
      <w:r w:rsidR="00EB2F37">
        <w:rPr>
          <w:rFonts w:eastAsia="Times New Roman" w:hAnsi="Times New Roman" w:cs="Times New Roman"/>
        </w:rPr>
        <w:t>’</w:t>
      </w:r>
      <w:r w:rsidRPr="00EB2F37">
        <w:rPr>
          <w:rFonts w:eastAsia="Times New Roman" w:hAnsi="Times New Roman" w:cs="Times New Roman"/>
        </w:rPr>
        <w:t>algorithme.</w:t>
      </w:r>
    </w:p>
    <w:p w14:paraId="239400CF" w14:textId="1F7B17DF" w:rsidR="00270D0B" w:rsidRDefault="00EB2F37" w:rsidP="00BB1727">
      <w:pPr>
        <w:spacing w:before="240" w:line="271" w:lineRule="auto"/>
        <w:jc w:val="both"/>
      </w:pPr>
      <w:bookmarkStart w:id="20" w:name="méthodes_naïves_pour_la_régression"/>
      <w:r>
        <w:rPr>
          <w:rFonts w:eastAsia="Times New Roman" w:hAnsi="Times New Roman" w:cs="Times New Roman"/>
          <w:b/>
        </w:rPr>
        <w:tab/>
      </w:r>
      <w:r w:rsidR="00BB1727">
        <w:rPr>
          <w:rFonts w:eastAsia="Times New Roman" w:hAnsi="Times New Roman" w:cs="Times New Roman"/>
          <w:b/>
        </w:rPr>
        <w:t>Méthodes naïves pour la régression</w:t>
      </w:r>
      <w:bookmarkEnd w:id="20"/>
    </w:p>
    <w:p w14:paraId="7FEFBC0B" w14:textId="504F8BB2" w:rsidR="00270D0B" w:rsidRDefault="00EB2F37" w:rsidP="00BB1727">
      <w:pPr>
        <w:spacing w:after="280"/>
        <w:jc w:val="both"/>
      </w:pPr>
      <w:r>
        <w:rPr>
          <w:rFonts w:eastAsia="Times New Roman" w:hAnsi="Times New Roman" w:cs="Times New Roman"/>
        </w:rPr>
        <w:tab/>
      </w:r>
      <w:r w:rsidR="00BB1727">
        <w:rPr>
          <w:rFonts w:eastAsia="Times New Roman" w:hAnsi="Times New Roman" w:cs="Times New Roman"/>
        </w:rPr>
        <w:t>Pour un problème de régression, on peut considérer les approches naïves suivantes :</w:t>
      </w:r>
    </w:p>
    <w:p w14:paraId="2B0DF0B4" w14:textId="77777777" w:rsidR="00270D0B" w:rsidRDefault="00BB1727" w:rsidP="00BB1727">
      <w:pPr>
        <w:numPr>
          <w:ilvl w:val="0"/>
          <w:numId w:val="7"/>
        </w:numPr>
        <w:jc w:val="both"/>
      </w:pPr>
      <w:r>
        <w:rPr>
          <w:rFonts w:eastAsia="Times New Roman" w:hAnsi="Times New Roman" w:cs="Times New Roman"/>
        </w:rPr>
        <w:t>Prédire une valeur aléatoire, uniformément entre la plus petite et la plus grande des valeurs des étiquettes du jeu d'entraînement ;</w:t>
      </w:r>
    </w:p>
    <w:p w14:paraId="50D7E2DC" w14:textId="77777777" w:rsidR="00270D0B" w:rsidRDefault="00BB1727" w:rsidP="00BB1727">
      <w:pPr>
        <w:numPr>
          <w:ilvl w:val="0"/>
          <w:numId w:val="7"/>
        </w:numPr>
        <w:jc w:val="both"/>
      </w:pPr>
      <w:r>
        <w:rPr>
          <w:rFonts w:eastAsia="Times New Roman" w:hAnsi="Times New Roman" w:cs="Times New Roman"/>
        </w:rPr>
        <w:t>Prédire systématiquement la moyenne ou la médiane des étiquettes du jeu d'entraînement.</w:t>
      </w:r>
    </w:p>
    <w:p w14:paraId="0526F7FA" w14:textId="16AF02A9" w:rsidR="00270D0B" w:rsidRDefault="00EB2F37" w:rsidP="00BB1727">
      <w:pPr>
        <w:spacing w:before="240" w:line="271" w:lineRule="auto"/>
        <w:jc w:val="both"/>
      </w:pPr>
      <w:bookmarkStart w:id="21" w:name="points_clés"/>
      <w:r>
        <w:rPr>
          <w:rFonts w:eastAsia="Times New Roman" w:hAnsi="Times New Roman" w:cs="Times New Roman"/>
          <w:b/>
          <w:sz w:val="33"/>
        </w:rPr>
        <w:tab/>
      </w:r>
      <w:r w:rsidR="00BB1727">
        <w:rPr>
          <w:rFonts w:eastAsia="Times New Roman" w:hAnsi="Times New Roman" w:cs="Times New Roman"/>
          <w:b/>
          <w:sz w:val="33"/>
        </w:rPr>
        <w:t>Points clés</w:t>
      </w:r>
      <w:bookmarkEnd w:id="21"/>
    </w:p>
    <w:p w14:paraId="4303F46F" w14:textId="77777777" w:rsidR="00270D0B" w:rsidRDefault="00BB1727" w:rsidP="00BB1727">
      <w:pPr>
        <w:numPr>
          <w:ilvl w:val="0"/>
          <w:numId w:val="8"/>
        </w:numPr>
        <w:spacing w:after="280"/>
        <w:jc w:val="both"/>
      </w:pPr>
      <w:r>
        <w:rPr>
          <w:rFonts w:eastAsia="Times New Roman" w:hAnsi="Times New Roman" w:cs="Times New Roman"/>
        </w:rPr>
        <w:t>Pour éviter le sur-apprentissage, il est essentiel lors de l'étape de sélection du modèle de valider les différents modèles testés sur un jeu de données différent de celui utilisé pour l'entraînement.</w:t>
      </w:r>
    </w:p>
    <w:p w14:paraId="09C50C29" w14:textId="77777777" w:rsidR="00270D0B" w:rsidRDefault="00BB1727" w:rsidP="00BB1727">
      <w:pPr>
        <w:numPr>
          <w:ilvl w:val="0"/>
          <w:numId w:val="8"/>
        </w:numPr>
        <w:spacing w:after="280"/>
        <w:jc w:val="both"/>
      </w:pPr>
      <w:r>
        <w:rPr>
          <w:rFonts w:eastAsia="Times New Roman" w:hAnsi="Times New Roman" w:cs="Times New Roman"/>
        </w:rPr>
        <w:t>Pour estimer la performance en généralisation d'un modèle, il est essentiel de l'évaluer sur des données qui n'ont été utilisées ni pour l'entraînement, ni pour la sélection de ce modèle.</w:t>
      </w:r>
    </w:p>
    <w:p w14:paraId="67703F75" w14:textId="77777777" w:rsidR="00270D0B" w:rsidRDefault="00BB1727" w:rsidP="00BB1727">
      <w:pPr>
        <w:numPr>
          <w:ilvl w:val="0"/>
          <w:numId w:val="8"/>
        </w:numPr>
        <w:spacing w:after="280"/>
        <w:jc w:val="both"/>
      </w:pPr>
      <w:r>
        <w:rPr>
          <w:rFonts w:eastAsia="Times New Roman" w:hAnsi="Times New Roman" w:cs="Times New Roman"/>
        </w:rPr>
        <w:t>Pour sélectionner les hyperparamètres d'un algorithme d'apprentissage, on procède généralement à une recherche en grille. Quand le nombre d'hyperparamètres à optimiser dépasse deux, on a plutôt recours à une recherche aléatoire.</w:t>
      </w:r>
    </w:p>
    <w:p w14:paraId="583F5F0B" w14:textId="77777777" w:rsidR="00270D0B" w:rsidRDefault="00BB1727" w:rsidP="00BB1727">
      <w:pPr>
        <w:numPr>
          <w:ilvl w:val="0"/>
          <w:numId w:val="8"/>
        </w:numPr>
        <w:spacing w:after="280"/>
        <w:jc w:val="both"/>
      </w:pPr>
      <w:r>
        <w:rPr>
          <w:rFonts w:eastAsia="Times New Roman" w:hAnsi="Times New Roman" w:cs="Times New Roman"/>
        </w:rPr>
        <w:t>De nombreux critères permettent d'évaluer la performance prédictive d'un modèle. On les choisira en fonction de l'application.</w:t>
      </w:r>
    </w:p>
    <w:p w14:paraId="122E0649" w14:textId="77777777" w:rsidR="00270D0B" w:rsidRDefault="00BB1727" w:rsidP="00BB1727">
      <w:pPr>
        <w:numPr>
          <w:ilvl w:val="0"/>
          <w:numId w:val="8"/>
        </w:numPr>
        <w:spacing w:after="280"/>
        <w:jc w:val="both"/>
      </w:pPr>
      <w:r>
        <w:rPr>
          <w:rFonts w:eastAsia="Times New Roman" w:hAnsi="Times New Roman" w:cs="Times New Roman"/>
        </w:rPr>
        <w:t>Pour interpréter la performance d'un modèle, il peut être utile de le comparer à une approche naïve.</w:t>
      </w:r>
    </w:p>
    <w:p w14:paraId="0AB3D778" w14:textId="5305BC73" w:rsidR="00270D0B" w:rsidRDefault="00EB2F37" w:rsidP="00BB1727">
      <w:pPr>
        <w:spacing w:before="240" w:line="271" w:lineRule="auto"/>
        <w:jc w:val="both"/>
      </w:pPr>
      <w:bookmarkStart w:id="22" w:name="pour_aller_plus_loin"/>
      <w:r>
        <w:rPr>
          <w:b/>
          <w:sz w:val="33"/>
        </w:rPr>
        <w:lastRenderedPageBreak/>
        <w:tab/>
      </w:r>
      <w:r w:rsidR="00BB1727">
        <w:rPr>
          <w:b/>
          <w:sz w:val="33"/>
        </w:rPr>
        <w:t>Pour aller plus loin</w:t>
      </w:r>
      <w:bookmarkEnd w:id="22"/>
    </w:p>
    <w:p w14:paraId="305DCBDE" w14:textId="4DC647E8" w:rsidR="00270D0B" w:rsidRDefault="00FE78F7" w:rsidP="00BB1727">
      <w:pPr>
        <w:spacing w:after="280"/>
        <w:jc w:val="both"/>
      </w:pPr>
      <w:r>
        <w:rPr>
          <w:rFonts w:eastAsia="Times New Roman" w:hAnsi="Times New Roman" w:cs="Times New Roman"/>
        </w:rPr>
        <w:tab/>
      </w:r>
      <w:r w:rsidR="00BB1727">
        <w:rPr>
          <w:rFonts w:eastAsia="Times New Roman" w:hAnsi="Times New Roman" w:cs="Times New Roman"/>
        </w:rPr>
        <w:t xml:space="preserve">L'optimisation d'hyperparamètres peut aussi se faire de manière </w:t>
      </w:r>
      <w:r w:rsidR="00BB1727">
        <w:rPr>
          <w:b/>
        </w:rPr>
        <w:t>bay</w:t>
      </w:r>
      <w:r w:rsidR="00BB1727">
        <w:rPr>
          <w:b/>
        </w:rPr>
        <w:t>é</w:t>
      </w:r>
      <w:r w:rsidR="00BB1727">
        <w:rPr>
          <w:b/>
        </w:rPr>
        <w:t>sienne</w:t>
      </w:r>
      <w:r w:rsidR="00BB1727">
        <w:t xml:space="preserve">. En notant </w:t>
      </w:r>
      <m:oMath>
        <m:sSub>
          <m:sSubPr>
            <m:ctrlPr>
              <w:rPr>
                <w:rFonts w:ascii="Cambria Math" w:hAnsi="Cambria Math"/>
              </w:rPr>
            </m:ctrlPr>
          </m:sSubPr>
          <m:e>
            <m:r>
              <w:rPr>
                <w:rFonts w:ascii="Cambria Math" w:hAnsi="Cambria Math"/>
              </w:rPr>
              <m:t>f</m:t>
            </m:r>
          </m:e>
          <m:sub>
            <m:r>
              <w:rPr>
                <w:rFonts w:ascii="Cambria Math" w:hAnsi="Cambria Math"/>
              </w:rPr>
              <m:t>θ</m:t>
            </m:r>
          </m:sub>
        </m:sSub>
      </m:oMath>
      <w:r w:rsidR="00BB1727">
        <w:rPr>
          <w:rFonts w:eastAsia="Times New Roman" w:hAnsi="Times New Roman" w:cs="Times New Roman"/>
        </w:rPr>
        <w:t xml:space="preserve"> le modèle appris avec le vecteur d'hyperparamètres </w:t>
      </w:r>
      <m:oMath>
        <m:r>
          <w:rPr>
            <w:rFonts w:ascii="Cambria Math" w:hAnsi="Cambria Math"/>
          </w:rPr>
          <m:t>θ</m:t>
        </m:r>
      </m:oMath>
      <w:r w:rsidR="00BB1727">
        <w:rPr>
          <w:rFonts w:eastAsia="Times New Roman" w:hAnsi="Times New Roman" w:cs="Times New Roman"/>
        </w:rPr>
        <w:t>, il s'agit alors de modéliser la distribution de la fonction objectif</w:t>
      </w:r>
    </w:p>
    <w:p w14:paraId="1962E31C" w14:textId="77777777" w:rsidR="00270D0B" w:rsidRDefault="00FE78F7" w:rsidP="00BB1727">
      <w:pPr>
        <w:spacing w:after="280"/>
        <w:jc w:val="both"/>
      </w:pPr>
      <m:oMathPara>
        <m:oMath>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nor/>
                    </m:rPr>
                    <m:t>te</m:t>
                  </m:r>
                </m:sub>
              </m:sSub>
              <m:r>
                <m:rPr>
                  <m:sty m:val="p"/>
                </m:rPr>
                <w:rPr>
                  <w:rFonts w:ascii="Cambria Math" w:hAnsi="Cambria Math"/>
                </w:rPr>
                <m:t>|</m:t>
              </m:r>
            </m:den>
          </m:f>
          <m:nary>
            <m:naryPr>
              <m:chr m:val="∑"/>
              <m:limLoc m:val="undOvr"/>
              <m:grow m:val="1"/>
              <m:supHide m:val="1"/>
              <m:ctrlPr>
                <w:rPr>
                  <w:rFonts w:ascii="Cambria Math" w:hAnsi="Cambria Math"/>
                </w:rPr>
              </m:ctrlPr>
            </m:naryPr>
            <m: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y</m:t>
              </m:r>
              <m:r>
                <m:rPr>
                  <m:sty m:val="p"/>
                </m:rPr>
                <w:rPr>
                  <w:rFonts w:ascii="Cambria Math" w:hAnsi="Cambria Math"/>
                </w:rPr>
                <m:t>)∈</m:t>
              </m:r>
              <m:sSub>
                <m:sSubPr>
                  <m:ctrlPr>
                    <w:rPr>
                      <w:rFonts w:ascii="Cambria Math" w:hAnsi="Cambria Math"/>
                    </w:rPr>
                  </m:ctrlPr>
                </m:sSubPr>
                <m:e>
                  <m:r>
                    <m:rPr>
                      <m:scr m:val="script"/>
                    </m:rPr>
                    <w:rPr>
                      <w:rFonts w:ascii="Cambria Math" w:hAnsi="Cambria Math"/>
                    </w:rPr>
                    <m:t>D</m:t>
                  </m:r>
                </m:e>
                <m:sub>
                  <m:r>
                    <m:rPr>
                      <m:nor/>
                    </m:rPr>
                    <m:t>te</m:t>
                  </m:r>
                </m:sub>
              </m:sSub>
            </m:sub>
            <m:sup/>
            <m:e>
              <m:r>
                <m:rPr>
                  <m:sty m:val="p"/>
                </m:rPr>
                <w:rPr>
                  <w:rFonts w:ascii="Cambria Math" w:hAnsi="Cambria Math"/>
                </w:rPr>
                <m:t> </m:t>
              </m:r>
            </m:e>
          </m:nary>
          <m:r>
            <w:rPr>
              <w:rFonts w:ascii="Cambria Math" w:hAnsi="Cambria Math"/>
            </w:rPr>
            <m:t>L</m:t>
          </m:r>
          <m:r>
            <m:rPr>
              <m:sty m:val="p"/>
            </m:rPr>
            <w:rPr>
              <w:rFonts w:ascii="Cambria Math" w:hAnsi="Cambria Math"/>
              <w:sz w:val="26"/>
            </w:rPr>
            <m:t>(</m:t>
          </m:r>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θ</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m:rPr>
              <m:sty m:val="p"/>
            </m:rPr>
            <w:rPr>
              <w:rFonts w:ascii="Cambria Math" w:hAnsi="Cambria Math"/>
              <w:sz w:val="26"/>
            </w:rPr>
            <m:t>)</m:t>
          </m:r>
        </m:oMath>
      </m:oMathPara>
    </w:p>
    <w:p w14:paraId="01AF6C63" w14:textId="77777777" w:rsidR="00270D0B" w:rsidRDefault="00BB1727" w:rsidP="00BB1727">
      <w:pPr>
        <w:spacing w:after="280"/>
        <w:jc w:val="both"/>
      </w:pPr>
      <w:r>
        <w:rPr>
          <w:rFonts w:eastAsia="Times New Roman" w:hAnsi="Times New Roman" w:cs="Times New Roman"/>
        </w:rPr>
        <w:t xml:space="preserve">conditionnellement à </w:t>
      </w:r>
      <m:oMath>
        <m:r>
          <w:rPr>
            <w:rFonts w:ascii="Cambria Math" w:hAnsi="Cambria Math"/>
          </w:rPr>
          <m:t>θ</m:t>
        </m:r>
      </m:oMath>
      <w:r>
        <w:t xml:space="preserve"> et d'estimer </w:t>
      </w:r>
      <m:oMath>
        <m:r>
          <w:rPr>
            <w:rFonts w:ascii="Cambria Math" w:hAnsi="Cambria Math"/>
          </w:rPr>
          <m:t>θ</m:t>
        </m:r>
      </m:oMath>
      <w:r>
        <w:rPr>
          <w:rFonts w:eastAsia="Times New Roman" w:hAnsi="Times New Roman" w:cs="Times New Roman"/>
        </w:rPr>
        <w:t>. Pour plus de détails, on se reportera à l'article de Bergstra et al. (2011).</w:t>
      </w:r>
    </w:p>
    <w:p w14:paraId="41DDC2D1" w14:textId="7C9DD376" w:rsidR="00270D0B" w:rsidRDefault="00FE78F7" w:rsidP="00BB1727">
      <w:pPr>
        <w:spacing w:after="280"/>
        <w:jc w:val="both"/>
      </w:pPr>
      <w:r>
        <w:rPr>
          <w:rFonts w:eastAsia="Times New Roman" w:hAnsi="Times New Roman" w:cs="Times New Roman"/>
        </w:rPr>
        <w:tab/>
      </w:r>
      <w:r w:rsidR="00BB1727">
        <w:rPr>
          <w:rFonts w:eastAsia="Times New Roman" w:hAnsi="Times New Roman" w:cs="Times New Roman"/>
        </w:rPr>
        <w:t xml:space="preserve">En construisant la courbe précision-rappel de la figure 3.6, nous avons relié les points par des segments. Cette interpolation linéaire n'est en fait pas appropriée. On pourra se référer aux articles de Davis et </w:t>
      </w:r>
      <w:proofErr w:type="spellStart"/>
      <w:r w:rsidR="00BB1727">
        <w:rPr>
          <w:rFonts w:eastAsia="Times New Roman" w:hAnsi="Times New Roman" w:cs="Times New Roman"/>
        </w:rPr>
        <w:t>Goadrich</w:t>
      </w:r>
      <w:proofErr w:type="spellEnd"/>
      <w:r w:rsidR="00BB1727">
        <w:rPr>
          <w:rFonts w:eastAsia="Times New Roman" w:hAnsi="Times New Roman" w:cs="Times New Roman"/>
        </w:rPr>
        <w:t xml:space="preserve"> (2006) et Fawcett (2006).</w:t>
      </w:r>
    </w:p>
    <w:p w14:paraId="7387B640" w14:textId="4FC2BB72" w:rsidR="00270D0B" w:rsidRDefault="00FE78F7" w:rsidP="00BB1727">
      <w:pPr>
        <w:spacing w:after="280"/>
        <w:jc w:val="both"/>
      </w:pPr>
      <w:r>
        <w:rPr>
          <w:rFonts w:eastAsia="Times New Roman" w:hAnsi="Times New Roman" w:cs="Times New Roman"/>
        </w:rPr>
        <w:tab/>
      </w:r>
      <w:r w:rsidR="00BB1727">
        <w:rPr>
          <w:rFonts w:eastAsia="Times New Roman" w:hAnsi="Times New Roman" w:cs="Times New Roman"/>
        </w:rPr>
        <w:t>Pour certains modèles, en particulier linéaires (voir chapitre 5), il est possible d'estimer l'</w:t>
      </w:r>
      <w:r w:rsidR="00BB1727">
        <w:rPr>
          <w:b/>
        </w:rPr>
        <w:t>optimisme</w:t>
      </w:r>
      <w:r w:rsidR="00BB1727">
        <w:rPr>
          <w:rFonts w:eastAsia="Times New Roman" w:hAnsi="Times New Roman" w:cs="Times New Roman"/>
        </w:rPr>
        <w:t xml:space="preserve">, c'est-à-dire la différence entre l'erreur d'entraînement et l'erreur de test, de manière théorique, plutôt que d'utiliser une validation croisée. Dans le cas des modèles linéaires, on pourra notamment utiliser le coefficient </w:t>
      </w:r>
      <m:oMath>
        <m:sSub>
          <m:sSubPr>
            <m:ctrlPr>
              <w:rPr>
                <w:rFonts w:ascii="Cambria Math" w:hAnsi="Cambria Math"/>
              </w:rPr>
            </m:ctrlPr>
          </m:sSubPr>
          <m:e>
            <m:r>
              <w:rPr>
                <w:rFonts w:ascii="Cambria Math" w:hAnsi="Cambria Math"/>
              </w:rPr>
              <m:t>C</m:t>
            </m:r>
          </m:e>
          <m:sub>
            <m:r>
              <w:rPr>
                <w:rFonts w:ascii="Cambria Math" w:hAnsi="Cambria Math"/>
              </w:rPr>
              <m:t>p</m:t>
            </m:r>
          </m:sub>
        </m:sSub>
      </m:oMath>
      <w:r w:rsidR="00BB1727">
        <w:rPr>
          <w:rFonts w:eastAsia="Times New Roman" w:hAnsi="Times New Roman" w:cs="Times New Roman"/>
        </w:rPr>
        <w:t xml:space="preserve"> de Mallow, le critère d'information d'Akaike ou le critère d'information bayésien. Pour plus de détails, on se reportera au livre de Dodge et Rousson (2004).</w:t>
      </w:r>
    </w:p>
    <w:p w14:paraId="38679C6D" w14:textId="6AFEE5CC" w:rsidR="00270D0B" w:rsidRDefault="00FE78F7" w:rsidP="00BB1727">
      <w:pPr>
        <w:spacing w:after="280"/>
        <w:jc w:val="both"/>
      </w:pPr>
      <w:r>
        <w:tab/>
      </w:r>
      <w:r w:rsidR="00BB1727">
        <w:t xml:space="preserve">La </w:t>
      </w:r>
      <w:r w:rsidR="00BB1727">
        <w:rPr>
          <w:b/>
        </w:rPr>
        <w:t>longueur de description minimale</w:t>
      </w:r>
      <w:r w:rsidR="00BB1727">
        <w:rPr>
          <w:rFonts w:eastAsia="Times New Roman" w:hAnsi="Times New Roman" w:cs="Times New Roman"/>
        </w:rPr>
        <w:t xml:space="preserve"> (Minimum Description </w:t>
      </w:r>
      <w:proofErr w:type="spellStart"/>
      <w:r w:rsidR="00BB1727">
        <w:rPr>
          <w:rFonts w:eastAsia="Times New Roman" w:hAnsi="Times New Roman" w:cs="Times New Roman"/>
        </w:rPr>
        <w:t>Length</w:t>
      </w:r>
      <w:proofErr w:type="spellEnd"/>
      <w:r w:rsidR="00BB1727">
        <w:rPr>
          <w:rFonts w:eastAsia="Times New Roman" w:hAnsi="Times New Roman" w:cs="Times New Roman"/>
        </w:rPr>
        <w:t>, MDL) est un concept issu de la théorie de l'information qui peut être utilisé pour la sélection de modèle (</w:t>
      </w:r>
      <w:proofErr w:type="spellStart"/>
      <w:r w:rsidR="00BB1727">
        <w:rPr>
          <w:rFonts w:eastAsia="Times New Roman" w:hAnsi="Times New Roman" w:cs="Times New Roman"/>
        </w:rPr>
        <w:t>Rissanen</w:t>
      </w:r>
      <w:proofErr w:type="spellEnd"/>
      <w:r w:rsidR="00BB1727">
        <w:rPr>
          <w:rFonts w:eastAsia="Times New Roman" w:hAnsi="Times New Roman" w:cs="Times New Roman"/>
        </w:rPr>
        <w:t xml:space="preserve">, 1978). Dans ce cadre, les étiquettes d'un jeu de données </w:t>
      </w:r>
      <m:oMath>
        <m:r>
          <m:rPr>
            <m:scr m:val="script"/>
          </m:rPr>
          <w:rPr>
            <w:rFonts w:ascii="Cambria Math" w:hAnsi="Cambria Math"/>
          </w:rPr>
          <m:t>D</m:t>
        </m:r>
      </m:oMath>
      <w:r w:rsidR="00BB1727">
        <w:rPr>
          <w:rFonts w:eastAsia="Times New Roman" w:hAnsi="Times New Roman" w:cs="Times New Roman"/>
        </w:rPr>
        <w:t xml:space="preserve"> peuvent être représentées par, d'une part une représentation d'un modèle, et d'autre part une représentation de la différence entre les prédictions du modèle et leurs vraies étiquettes dans </w:t>
      </w:r>
      <m:oMath>
        <m:r>
          <m:rPr>
            <m:scr m:val="script"/>
          </m:rPr>
          <w:rPr>
            <w:rFonts w:ascii="Cambria Math" w:hAnsi="Cambria Math"/>
          </w:rPr>
          <m:t>D</m:t>
        </m:r>
      </m:oMath>
      <w:r w:rsidR="00BB1727">
        <w:rPr>
          <w:rFonts w:eastAsia="Times New Roman" w:hAnsi="Times New Roman" w:cs="Times New Roman"/>
        </w:rPr>
        <w:t>. Le meilleur modèle est celui pour lequel la somme des tailles de ces représentations est minimale : un bon modèle permet de compresser efficacement les données.</w:t>
      </w:r>
    </w:p>
    <w:p w14:paraId="79E8E014" w14:textId="77777777" w:rsidR="00270D0B" w:rsidRDefault="00BB1727" w:rsidP="00BB1727">
      <w:pPr>
        <w:spacing w:after="280"/>
        <w:jc w:val="both"/>
      </w:pPr>
      <w:r>
        <w:rPr>
          <w:rFonts w:eastAsia="Times New Roman" w:hAnsi="Times New Roman" w:cs="Times New Roman"/>
        </w:rPr>
        <w:t xml:space="preserve">Pour une discussion détaillée des procédures de validation croisée, on pourra consulter </w:t>
      </w:r>
      <w:proofErr w:type="spellStart"/>
      <w:r>
        <w:rPr>
          <w:rFonts w:eastAsia="Times New Roman" w:hAnsi="Times New Roman" w:cs="Times New Roman"/>
        </w:rPr>
        <w:t>Arlot</w:t>
      </w:r>
      <w:proofErr w:type="spellEnd"/>
      <w:r>
        <w:rPr>
          <w:rFonts w:eastAsia="Times New Roman" w:hAnsi="Times New Roman" w:cs="Times New Roman"/>
        </w:rPr>
        <w:t xml:space="preserve"> et </w:t>
      </w:r>
      <w:proofErr w:type="spellStart"/>
      <w:r>
        <w:rPr>
          <w:rFonts w:eastAsia="Times New Roman" w:hAnsi="Times New Roman" w:cs="Times New Roman"/>
        </w:rPr>
        <w:t>Celisse</w:t>
      </w:r>
      <w:proofErr w:type="spellEnd"/>
      <w:r>
        <w:rPr>
          <w:rFonts w:eastAsia="Times New Roman" w:hAnsi="Times New Roman" w:cs="Times New Roman"/>
        </w:rPr>
        <w:t xml:space="preserve"> (2010).</w:t>
      </w:r>
    </w:p>
    <w:p w14:paraId="75E96157" w14:textId="77777777" w:rsidR="004A35AD" w:rsidRDefault="004A35AD" w:rsidP="00BB1727">
      <w:pPr>
        <w:spacing w:before="240" w:line="271" w:lineRule="auto"/>
        <w:jc w:val="both"/>
        <w:rPr>
          <w:b/>
          <w:sz w:val="33"/>
        </w:rPr>
      </w:pPr>
      <w:bookmarkStart w:id="23" w:name="bibliographie"/>
    </w:p>
    <w:p w14:paraId="15482D09" w14:textId="77777777" w:rsidR="004A35AD" w:rsidRDefault="004A35AD" w:rsidP="00BB1727">
      <w:pPr>
        <w:spacing w:before="240" w:line="271" w:lineRule="auto"/>
        <w:jc w:val="both"/>
        <w:rPr>
          <w:b/>
          <w:sz w:val="33"/>
        </w:rPr>
      </w:pPr>
    </w:p>
    <w:p w14:paraId="0CF47170" w14:textId="77777777" w:rsidR="00270D0B" w:rsidRDefault="00BB1727" w:rsidP="00BB1727">
      <w:pPr>
        <w:spacing w:before="240" w:line="271" w:lineRule="auto"/>
        <w:jc w:val="both"/>
      </w:pPr>
      <w:r>
        <w:rPr>
          <w:b/>
          <w:sz w:val="33"/>
        </w:rPr>
        <w:lastRenderedPageBreak/>
        <w:t>Bibliographie</w:t>
      </w:r>
      <w:bookmarkEnd w:id="23"/>
    </w:p>
    <w:p w14:paraId="18B08DE3" w14:textId="77777777" w:rsidR="00270D0B" w:rsidRPr="00BB1727" w:rsidRDefault="00BB1727" w:rsidP="00BB1727">
      <w:pPr>
        <w:spacing w:after="280"/>
        <w:jc w:val="both"/>
        <w:rPr>
          <w:lang w:val="en-US"/>
        </w:rPr>
      </w:pPr>
      <w:proofErr w:type="spellStart"/>
      <w:r>
        <w:t>Arlot</w:t>
      </w:r>
      <w:proofErr w:type="spellEnd"/>
      <w:r>
        <w:t xml:space="preserve">, S. et </w:t>
      </w:r>
      <w:proofErr w:type="spellStart"/>
      <w:r>
        <w:t>Celisse</w:t>
      </w:r>
      <w:proofErr w:type="spellEnd"/>
      <w:r>
        <w:t xml:space="preserve">, A. (2010). </w:t>
      </w:r>
      <w:r w:rsidRPr="00BB1727">
        <w:rPr>
          <w:lang w:val="en-US"/>
        </w:rPr>
        <w:t xml:space="preserve">A survey of cross-validation procedures for model selection. </w:t>
      </w:r>
      <w:r w:rsidRPr="00BB1727">
        <w:rPr>
          <w:i/>
          <w:lang w:val="en-US"/>
        </w:rPr>
        <w:t>Statistics Surveys</w:t>
      </w:r>
      <w:r w:rsidRPr="00BB1727">
        <w:rPr>
          <w:rFonts w:eastAsia="Times New Roman" w:hAnsi="Times New Roman" w:cs="Times New Roman"/>
          <w:lang w:val="en-US"/>
        </w:rPr>
        <w:t>, 4:40–79.</w:t>
      </w:r>
    </w:p>
    <w:p w14:paraId="483FF9C8" w14:textId="77777777" w:rsidR="00270D0B" w:rsidRPr="00BB1727" w:rsidRDefault="00BB1727" w:rsidP="00BB1727">
      <w:pPr>
        <w:spacing w:after="280"/>
        <w:jc w:val="both"/>
        <w:rPr>
          <w:lang w:val="en-US"/>
        </w:rPr>
      </w:pPr>
      <w:proofErr w:type="spellStart"/>
      <w:r w:rsidRPr="00BB1727">
        <w:rPr>
          <w:rFonts w:eastAsia="Times New Roman" w:hAnsi="Times New Roman" w:cs="Times New Roman"/>
          <w:lang w:val="en-US"/>
        </w:rPr>
        <w:t>Bergstra</w:t>
      </w:r>
      <w:proofErr w:type="spellEnd"/>
      <w:r w:rsidRPr="00BB1727">
        <w:rPr>
          <w:rFonts w:eastAsia="Times New Roman" w:hAnsi="Times New Roman" w:cs="Times New Roman"/>
          <w:lang w:val="en-US"/>
        </w:rPr>
        <w:t xml:space="preserve">, J., </w:t>
      </w:r>
      <w:proofErr w:type="spellStart"/>
      <w:r w:rsidRPr="00BB1727">
        <w:rPr>
          <w:rFonts w:eastAsia="Times New Roman" w:hAnsi="Times New Roman" w:cs="Times New Roman"/>
          <w:lang w:val="en-US"/>
        </w:rPr>
        <w:t>Bardenet</w:t>
      </w:r>
      <w:proofErr w:type="spellEnd"/>
      <w:r w:rsidRPr="00BB1727">
        <w:rPr>
          <w:rFonts w:eastAsia="Times New Roman" w:hAnsi="Times New Roman" w:cs="Times New Roman"/>
          <w:lang w:val="en-US"/>
        </w:rPr>
        <w:t xml:space="preserve">, R., </w:t>
      </w:r>
      <w:proofErr w:type="spellStart"/>
      <w:r w:rsidRPr="00BB1727">
        <w:rPr>
          <w:rFonts w:eastAsia="Times New Roman" w:hAnsi="Times New Roman" w:cs="Times New Roman"/>
          <w:lang w:val="en-US"/>
        </w:rPr>
        <w:t>Bengio</w:t>
      </w:r>
      <w:proofErr w:type="spellEnd"/>
      <w:r w:rsidRPr="00BB1727">
        <w:rPr>
          <w:rFonts w:eastAsia="Times New Roman" w:hAnsi="Times New Roman" w:cs="Times New Roman"/>
          <w:lang w:val="en-US"/>
        </w:rPr>
        <w:t xml:space="preserve">, Y. et </w:t>
      </w:r>
      <w:proofErr w:type="spellStart"/>
      <w:r w:rsidRPr="00BB1727">
        <w:rPr>
          <w:rFonts w:eastAsia="Times New Roman" w:hAnsi="Times New Roman" w:cs="Times New Roman"/>
          <w:lang w:val="en-US"/>
        </w:rPr>
        <w:t>Kégl</w:t>
      </w:r>
      <w:proofErr w:type="spellEnd"/>
      <w:r w:rsidRPr="00BB1727">
        <w:rPr>
          <w:rFonts w:eastAsia="Times New Roman" w:hAnsi="Times New Roman" w:cs="Times New Roman"/>
          <w:lang w:val="en-US"/>
        </w:rPr>
        <w:t xml:space="preserve">, B. (2011). Algorithms for hyper-parameter optimization. In </w:t>
      </w:r>
      <w:r w:rsidRPr="00BB1727">
        <w:rPr>
          <w:i/>
          <w:lang w:val="en-US"/>
        </w:rPr>
        <w:t>Advances in Neural Information Processing Systems</w:t>
      </w:r>
      <w:r w:rsidRPr="00BB1727">
        <w:rPr>
          <w:rFonts w:eastAsia="Times New Roman" w:hAnsi="Times New Roman" w:cs="Times New Roman"/>
          <w:lang w:val="en-US"/>
        </w:rPr>
        <w:t>, 24:2546–2554.</w:t>
      </w:r>
    </w:p>
    <w:p w14:paraId="595E4FF6" w14:textId="77777777" w:rsidR="00270D0B" w:rsidRPr="00BB1727" w:rsidRDefault="00BB1727" w:rsidP="00BB1727">
      <w:pPr>
        <w:spacing w:after="280"/>
        <w:jc w:val="both"/>
        <w:rPr>
          <w:lang w:val="en-US"/>
        </w:rPr>
      </w:pPr>
      <w:proofErr w:type="spellStart"/>
      <w:r w:rsidRPr="00BB1727">
        <w:rPr>
          <w:lang w:val="en-US"/>
        </w:rPr>
        <w:t>Bergstra</w:t>
      </w:r>
      <w:proofErr w:type="spellEnd"/>
      <w:r w:rsidRPr="00BB1727">
        <w:rPr>
          <w:lang w:val="en-US"/>
        </w:rPr>
        <w:t xml:space="preserve">, J. et </w:t>
      </w:r>
      <w:proofErr w:type="spellStart"/>
      <w:r w:rsidRPr="00BB1727">
        <w:rPr>
          <w:lang w:val="en-US"/>
        </w:rPr>
        <w:t>Bengio</w:t>
      </w:r>
      <w:proofErr w:type="spellEnd"/>
      <w:r w:rsidRPr="00BB1727">
        <w:rPr>
          <w:lang w:val="en-US"/>
        </w:rPr>
        <w:t xml:space="preserve">, Y. (2012). Random Search for Hyper-Parameter Optimization. </w:t>
      </w:r>
      <w:r w:rsidRPr="00BB1727">
        <w:rPr>
          <w:i/>
          <w:lang w:val="en-US"/>
        </w:rPr>
        <w:t>Journal of Machine Learning Research</w:t>
      </w:r>
      <w:r w:rsidRPr="00BB1727">
        <w:rPr>
          <w:rFonts w:eastAsia="Times New Roman" w:hAnsi="Times New Roman" w:cs="Times New Roman"/>
          <w:lang w:val="en-US"/>
        </w:rPr>
        <w:t>, 13(2):281–305.</w:t>
      </w:r>
    </w:p>
    <w:p w14:paraId="122E7633" w14:textId="77777777" w:rsidR="00270D0B" w:rsidRPr="00BB1727" w:rsidRDefault="00BB1727" w:rsidP="00BB1727">
      <w:pPr>
        <w:spacing w:after="280"/>
        <w:jc w:val="both"/>
        <w:rPr>
          <w:lang w:val="en-US"/>
        </w:rPr>
      </w:pPr>
      <w:r w:rsidRPr="00BB1727">
        <w:rPr>
          <w:lang w:val="en-US"/>
        </w:rPr>
        <w:t xml:space="preserve">Davis, J. et </w:t>
      </w:r>
      <w:proofErr w:type="spellStart"/>
      <w:r w:rsidRPr="00BB1727">
        <w:rPr>
          <w:lang w:val="en-US"/>
        </w:rPr>
        <w:t>Goadrich</w:t>
      </w:r>
      <w:proofErr w:type="spellEnd"/>
      <w:r w:rsidRPr="00BB1727">
        <w:rPr>
          <w:lang w:val="en-US"/>
        </w:rPr>
        <w:t xml:space="preserve">, M. (2006). The relationship between Precision-Recall and ROC curves. In </w:t>
      </w:r>
      <w:r w:rsidRPr="00BB1727">
        <w:rPr>
          <w:i/>
          <w:lang w:val="en-US"/>
        </w:rPr>
        <w:t>Proceedings of the 23rd International Conference on Machine Learning</w:t>
      </w:r>
      <w:r w:rsidRPr="00BB1727">
        <w:rPr>
          <w:rFonts w:eastAsia="Times New Roman" w:hAnsi="Times New Roman" w:cs="Times New Roman"/>
          <w:lang w:val="en-US"/>
        </w:rPr>
        <w:t>, ICML '06, pages 233–240, New York, NY, USA. ACM.</w:t>
      </w:r>
    </w:p>
    <w:p w14:paraId="1B79303C" w14:textId="77777777" w:rsidR="00270D0B" w:rsidRDefault="00BB1727" w:rsidP="00BB1727">
      <w:pPr>
        <w:spacing w:after="280"/>
        <w:jc w:val="both"/>
      </w:pPr>
      <w:r>
        <w:t xml:space="preserve">Dodge, Y. et Rousson, V. (2004). </w:t>
      </w:r>
      <w:r>
        <w:rPr>
          <w:i/>
        </w:rPr>
        <w:t>Analyse de r</w:t>
      </w:r>
      <w:r>
        <w:rPr>
          <w:i/>
        </w:rPr>
        <w:t>é</w:t>
      </w:r>
      <w:r>
        <w:rPr>
          <w:i/>
        </w:rPr>
        <w:t>gression appliqu</w:t>
      </w:r>
      <w:r>
        <w:rPr>
          <w:i/>
        </w:rPr>
        <w:t>é</w:t>
      </w:r>
      <w:r>
        <w:rPr>
          <w:i/>
        </w:rPr>
        <w:t>e</w:t>
      </w:r>
      <w:r>
        <w:t>. Dunod.</w:t>
      </w:r>
    </w:p>
    <w:p w14:paraId="133C3FFF" w14:textId="77777777" w:rsidR="00270D0B" w:rsidRDefault="00BB1727" w:rsidP="00BB1727">
      <w:pPr>
        <w:spacing w:after="280"/>
        <w:jc w:val="both"/>
      </w:pPr>
      <w:r w:rsidRPr="00BB1727">
        <w:rPr>
          <w:lang w:val="en-US"/>
        </w:rPr>
        <w:t xml:space="preserve">Fawcett, T. (2006). An introduction to ROC analysis. </w:t>
      </w:r>
      <w:r>
        <w:rPr>
          <w:i/>
        </w:rPr>
        <w:t xml:space="preserve">Pattern Recognition </w:t>
      </w:r>
      <w:proofErr w:type="spellStart"/>
      <w:r>
        <w:rPr>
          <w:i/>
        </w:rPr>
        <w:t>Letters</w:t>
      </w:r>
      <w:proofErr w:type="spellEnd"/>
      <w:r>
        <w:rPr>
          <w:rFonts w:eastAsia="Times New Roman" w:hAnsi="Times New Roman" w:cs="Times New Roman"/>
        </w:rPr>
        <w:t>, 27:861–874.</w:t>
      </w:r>
    </w:p>
    <w:p w14:paraId="096FD715" w14:textId="77777777" w:rsidR="00270D0B" w:rsidRPr="00BB1727" w:rsidRDefault="00BB1727" w:rsidP="00BB1727">
      <w:pPr>
        <w:spacing w:after="280"/>
        <w:jc w:val="both"/>
        <w:rPr>
          <w:lang w:val="en-US"/>
        </w:rPr>
      </w:pPr>
      <w:proofErr w:type="spellStart"/>
      <w:r>
        <w:t>Rissanen</w:t>
      </w:r>
      <w:proofErr w:type="spellEnd"/>
      <w:r>
        <w:t xml:space="preserve">, J. (1978). </w:t>
      </w:r>
      <w:r w:rsidRPr="00BB1727">
        <w:rPr>
          <w:lang w:val="en-US"/>
        </w:rPr>
        <w:t xml:space="preserve">Modeling by shortest data description. </w:t>
      </w:r>
      <w:proofErr w:type="spellStart"/>
      <w:r w:rsidRPr="00BB1727">
        <w:rPr>
          <w:i/>
          <w:lang w:val="en-US"/>
        </w:rPr>
        <w:t>Automatica</w:t>
      </w:r>
      <w:proofErr w:type="spellEnd"/>
      <w:r w:rsidRPr="00BB1727">
        <w:rPr>
          <w:rFonts w:eastAsia="Times New Roman" w:hAnsi="Times New Roman" w:cs="Times New Roman"/>
          <w:lang w:val="en-US"/>
        </w:rPr>
        <w:t>, 14(5):465–471.</w:t>
      </w:r>
    </w:p>
    <w:p w14:paraId="229AF202" w14:textId="77777777" w:rsidR="00270D0B" w:rsidRDefault="00BB1727" w:rsidP="00BB1727">
      <w:pPr>
        <w:spacing w:after="280"/>
        <w:jc w:val="both"/>
      </w:pPr>
      <w:r w:rsidRPr="00BB1727">
        <w:rPr>
          <w:lang w:val="en-US"/>
        </w:rPr>
        <w:t xml:space="preserve">Wolpert, D. H. et Macready, W. G. (1997). No free lunch theorems for optimization. </w:t>
      </w:r>
      <w:r>
        <w:rPr>
          <w:i/>
        </w:rPr>
        <w:t xml:space="preserve">IEEE Transactions on </w:t>
      </w:r>
      <w:proofErr w:type="spellStart"/>
      <w:r>
        <w:rPr>
          <w:i/>
        </w:rPr>
        <w:t>Evolutionary</w:t>
      </w:r>
      <w:proofErr w:type="spellEnd"/>
      <w:r>
        <w:rPr>
          <w:i/>
        </w:rPr>
        <w:t xml:space="preserve"> Computation</w:t>
      </w:r>
      <w:r>
        <w:rPr>
          <w:rFonts w:eastAsia="Times New Roman" w:hAnsi="Times New Roman" w:cs="Times New Roman"/>
        </w:rPr>
        <w:t>, 1(1):67–82.</w:t>
      </w:r>
    </w:p>
    <w:sectPr w:rsidR="00270D0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758C"/>
    <w:multiLevelType w:val="hybridMultilevel"/>
    <w:tmpl w:val="7C04313E"/>
    <w:lvl w:ilvl="0" w:tplc="76E6AF88">
      <w:start w:val="1"/>
      <w:numFmt w:val="bullet"/>
      <w:lvlText w:val=""/>
      <w:lvlJc w:val="left"/>
      <w:pPr>
        <w:tabs>
          <w:tab w:val="num" w:pos="1080"/>
        </w:tabs>
        <w:ind w:left="720" w:hanging="360"/>
      </w:pPr>
      <w:rPr>
        <w:rFonts w:ascii="Symbol" w:hAnsi="Symbol" w:hint="default"/>
      </w:rPr>
    </w:lvl>
    <w:lvl w:ilvl="1" w:tplc="9D626266">
      <w:numFmt w:val="decimal"/>
      <w:lvlText w:val=""/>
      <w:lvlJc w:val="left"/>
    </w:lvl>
    <w:lvl w:ilvl="2" w:tplc="5A5E41DA">
      <w:numFmt w:val="decimal"/>
      <w:lvlText w:val=""/>
      <w:lvlJc w:val="left"/>
    </w:lvl>
    <w:lvl w:ilvl="3" w:tplc="BE4A96F0">
      <w:numFmt w:val="decimal"/>
      <w:lvlText w:val=""/>
      <w:lvlJc w:val="left"/>
    </w:lvl>
    <w:lvl w:ilvl="4" w:tplc="EB14DED2">
      <w:numFmt w:val="decimal"/>
      <w:lvlText w:val=""/>
      <w:lvlJc w:val="left"/>
    </w:lvl>
    <w:lvl w:ilvl="5" w:tplc="B8FAC746">
      <w:numFmt w:val="decimal"/>
      <w:lvlText w:val=""/>
      <w:lvlJc w:val="left"/>
    </w:lvl>
    <w:lvl w:ilvl="6" w:tplc="7F78A7DC">
      <w:numFmt w:val="decimal"/>
      <w:lvlText w:val=""/>
      <w:lvlJc w:val="left"/>
    </w:lvl>
    <w:lvl w:ilvl="7" w:tplc="15A60656">
      <w:numFmt w:val="decimal"/>
      <w:lvlText w:val=""/>
      <w:lvlJc w:val="left"/>
    </w:lvl>
    <w:lvl w:ilvl="8" w:tplc="80001E40">
      <w:numFmt w:val="decimal"/>
      <w:lvlText w:val=""/>
      <w:lvlJc w:val="left"/>
    </w:lvl>
  </w:abstractNum>
  <w:abstractNum w:abstractNumId="1" w15:restartNumberingAfterBreak="0">
    <w:nsid w:val="0CDC16ED"/>
    <w:multiLevelType w:val="hybridMultilevel"/>
    <w:tmpl w:val="6096D55A"/>
    <w:lvl w:ilvl="0" w:tplc="973452AA">
      <w:start w:val="1"/>
      <w:numFmt w:val="bullet"/>
      <w:lvlText w:val=""/>
      <w:lvlJc w:val="left"/>
      <w:pPr>
        <w:tabs>
          <w:tab w:val="num" w:pos="1080"/>
        </w:tabs>
        <w:ind w:left="720" w:hanging="360"/>
      </w:pPr>
      <w:rPr>
        <w:rFonts w:ascii="Symbol" w:hAnsi="Symbol" w:hint="default"/>
      </w:rPr>
    </w:lvl>
    <w:lvl w:ilvl="1" w:tplc="D610E398">
      <w:numFmt w:val="decimal"/>
      <w:lvlText w:val=""/>
      <w:lvlJc w:val="left"/>
    </w:lvl>
    <w:lvl w:ilvl="2" w:tplc="ECAC30A4">
      <w:numFmt w:val="decimal"/>
      <w:lvlText w:val=""/>
      <w:lvlJc w:val="left"/>
    </w:lvl>
    <w:lvl w:ilvl="3" w:tplc="82E88872">
      <w:numFmt w:val="decimal"/>
      <w:lvlText w:val=""/>
      <w:lvlJc w:val="left"/>
    </w:lvl>
    <w:lvl w:ilvl="4" w:tplc="FDBE26B2">
      <w:numFmt w:val="decimal"/>
      <w:lvlText w:val=""/>
      <w:lvlJc w:val="left"/>
    </w:lvl>
    <w:lvl w:ilvl="5" w:tplc="D5222114">
      <w:numFmt w:val="decimal"/>
      <w:lvlText w:val=""/>
      <w:lvlJc w:val="left"/>
    </w:lvl>
    <w:lvl w:ilvl="6" w:tplc="82CE9FAC">
      <w:numFmt w:val="decimal"/>
      <w:lvlText w:val=""/>
      <w:lvlJc w:val="left"/>
    </w:lvl>
    <w:lvl w:ilvl="7" w:tplc="1B8E981E">
      <w:numFmt w:val="decimal"/>
      <w:lvlText w:val=""/>
      <w:lvlJc w:val="left"/>
    </w:lvl>
    <w:lvl w:ilvl="8" w:tplc="60006F8E">
      <w:numFmt w:val="decimal"/>
      <w:lvlText w:val=""/>
      <w:lvlJc w:val="left"/>
    </w:lvl>
  </w:abstractNum>
  <w:abstractNum w:abstractNumId="2" w15:restartNumberingAfterBreak="0">
    <w:nsid w:val="1D462ACD"/>
    <w:multiLevelType w:val="hybridMultilevel"/>
    <w:tmpl w:val="7F4E4268"/>
    <w:lvl w:ilvl="0" w:tplc="E07C7C32">
      <w:start w:val="1"/>
      <w:numFmt w:val="bullet"/>
      <w:lvlText w:val=""/>
      <w:lvlJc w:val="left"/>
      <w:pPr>
        <w:tabs>
          <w:tab w:val="num" w:pos="1080"/>
        </w:tabs>
        <w:ind w:left="720" w:hanging="360"/>
      </w:pPr>
      <w:rPr>
        <w:rFonts w:ascii="Symbol" w:hAnsi="Symbol" w:hint="default"/>
      </w:rPr>
    </w:lvl>
    <w:lvl w:ilvl="1" w:tplc="2BB63F54">
      <w:numFmt w:val="decimal"/>
      <w:lvlText w:val=""/>
      <w:lvlJc w:val="left"/>
    </w:lvl>
    <w:lvl w:ilvl="2" w:tplc="D122963E">
      <w:numFmt w:val="decimal"/>
      <w:lvlText w:val=""/>
      <w:lvlJc w:val="left"/>
    </w:lvl>
    <w:lvl w:ilvl="3" w:tplc="4F387E06">
      <w:numFmt w:val="decimal"/>
      <w:lvlText w:val=""/>
      <w:lvlJc w:val="left"/>
    </w:lvl>
    <w:lvl w:ilvl="4" w:tplc="2782EB06">
      <w:numFmt w:val="decimal"/>
      <w:lvlText w:val=""/>
      <w:lvlJc w:val="left"/>
    </w:lvl>
    <w:lvl w:ilvl="5" w:tplc="00980832">
      <w:numFmt w:val="decimal"/>
      <w:lvlText w:val=""/>
      <w:lvlJc w:val="left"/>
    </w:lvl>
    <w:lvl w:ilvl="6" w:tplc="AE3E1FF4">
      <w:numFmt w:val="decimal"/>
      <w:lvlText w:val=""/>
      <w:lvlJc w:val="left"/>
    </w:lvl>
    <w:lvl w:ilvl="7" w:tplc="15F8222E">
      <w:numFmt w:val="decimal"/>
      <w:lvlText w:val=""/>
      <w:lvlJc w:val="left"/>
    </w:lvl>
    <w:lvl w:ilvl="8" w:tplc="BCC6B1BA">
      <w:numFmt w:val="decimal"/>
      <w:lvlText w:val=""/>
      <w:lvlJc w:val="left"/>
    </w:lvl>
  </w:abstractNum>
  <w:abstractNum w:abstractNumId="3" w15:restartNumberingAfterBreak="0">
    <w:nsid w:val="1F680C49"/>
    <w:multiLevelType w:val="hybridMultilevel"/>
    <w:tmpl w:val="FB2EAAF6"/>
    <w:lvl w:ilvl="0" w:tplc="47EA31BA">
      <w:start w:val="1"/>
      <w:numFmt w:val="bullet"/>
      <w:lvlText w:val=""/>
      <w:lvlJc w:val="left"/>
      <w:pPr>
        <w:tabs>
          <w:tab w:val="num" w:pos="1080"/>
        </w:tabs>
        <w:ind w:left="720" w:hanging="360"/>
      </w:pPr>
      <w:rPr>
        <w:rFonts w:ascii="Symbol" w:hAnsi="Symbol" w:hint="default"/>
      </w:rPr>
    </w:lvl>
    <w:lvl w:ilvl="1" w:tplc="1FC07936">
      <w:numFmt w:val="decimal"/>
      <w:lvlText w:val=""/>
      <w:lvlJc w:val="left"/>
    </w:lvl>
    <w:lvl w:ilvl="2" w:tplc="A03456AE">
      <w:numFmt w:val="decimal"/>
      <w:lvlText w:val=""/>
      <w:lvlJc w:val="left"/>
    </w:lvl>
    <w:lvl w:ilvl="3" w:tplc="B8CC19CA">
      <w:numFmt w:val="decimal"/>
      <w:lvlText w:val=""/>
      <w:lvlJc w:val="left"/>
    </w:lvl>
    <w:lvl w:ilvl="4" w:tplc="C4268644">
      <w:numFmt w:val="decimal"/>
      <w:lvlText w:val=""/>
      <w:lvlJc w:val="left"/>
    </w:lvl>
    <w:lvl w:ilvl="5" w:tplc="71DEF686">
      <w:numFmt w:val="decimal"/>
      <w:lvlText w:val=""/>
      <w:lvlJc w:val="left"/>
    </w:lvl>
    <w:lvl w:ilvl="6" w:tplc="33FE17AE">
      <w:numFmt w:val="decimal"/>
      <w:lvlText w:val=""/>
      <w:lvlJc w:val="left"/>
    </w:lvl>
    <w:lvl w:ilvl="7" w:tplc="EBBC1314">
      <w:numFmt w:val="decimal"/>
      <w:lvlText w:val=""/>
      <w:lvlJc w:val="left"/>
    </w:lvl>
    <w:lvl w:ilvl="8" w:tplc="375052AC">
      <w:numFmt w:val="decimal"/>
      <w:lvlText w:val=""/>
      <w:lvlJc w:val="left"/>
    </w:lvl>
  </w:abstractNum>
  <w:abstractNum w:abstractNumId="4" w15:restartNumberingAfterBreak="0">
    <w:nsid w:val="2CFD3290"/>
    <w:multiLevelType w:val="hybridMultilevel"/>
    <w:tmpl w:val="D3A621CE"/>
    <w:lvl w:ilvl="0" w:tplc="25E4E6E2">
      <w:start w:val="1"/>
      <w:numFmt w:val="decimal"/>
      <w:lvlText w:val="%1."/>
      <w:lvlJc w:val="left"/>
      <w:pPr>
        <w:tabs>
          <w:tab w:val="num" w:pos="1080"/>
        </w:tabs>
        <w:ind w:left="720" w:hanging="360"/>
      </w:pPr>
    </w:lvl>
    <w:lvl w:ilvl="1" w:tplc="EB08398C">
      <w:numFmt w:val="decimal"/>
      <w:lvlText w:val=""/>
      <w:lvlJc w:val="left"/>
    </w:lvl>
    <w:lvl w:ilvl="2" w:tplc="38DCDB0C">
      <w:numFmt w:val="decimal"/>
      <w:lvlText w:val=""/>
      <w:lvlJc w:val="left"/>
    </w:lvl>
    <w:lvl w:ilvl="3" w:tplc="D790511C">
      <w:numFmt w:val="decimal"/>
      <w:lvlText w:val=""/>
      <w:lvlJc w:val="left"/>
    </w:lvl>
    <w:lvl w:ilvl="4" w:tplc="EEEEB1E4">
      <w:numFmt w:val="decimal"/>
      <w:lvlText w:val=""/>
      <w:lvlJc w:val="left"/>
    </w:lvl>
    <w:lvl w:ilvl="5" w:tplc="F22E69E8">
      <w:numFmt w:val="decimal"/>
      <w:lvlText w:val=""/>
      <w:lvlJc w:val="left"/>
    </w:lvl>
    <w:lvl w:ilvl="6" w:tplc="6F70A2F6">
      <w:numFmt w:val="decimal"/>
      <w:lvlText w:val=""/>
      <w:lvlJc w:val="left"/>
    </w:lvl>
    <w:lvl w:ilvl="7" w:tplc="3B2A354E">
      <w:numFmt w:val="decimal"/>
      <w:lvlText w:val=""/>
      <w:lvlJc w:val="left"/>
    </w:lvl>
    <w:lvl w:ilvl="8" w:tplc="3D904660">
      <w:numFmt w:val="decimal"/>
      <w:lvlText w:val=""/>
      <w:lvlJc w:val="left"/>
    </w:lvl>
  </w:abstractNum>
  <w:abstractNum w:abstractNumId="5" w15:restartNumberingAfterBreak="0">
    <w:nsid w:val="414074A1"/>
    <w:multiLevelType w:val="hybridMultilevel"/>
    <w:tmpl w:val="0E346188"/>
    <w:lvl w:ilvl="0" w:tplc="F586CA44">
      <w:start w:val="1"/>
      <w:numFmt w:val="bullet"/>
      <w:lvlText w:val=""/>
      <w:lvlJc w:val="left"/>
      <w:pPr>
        <w:tabs>
          <w:tab w:val="num" w:pos="1080"/>
        </w:tabs>
        <w:ind w:left="720" w:hanging="360"/>
      </w:pPr>
      <w:rPr>
        <w:rFonts w:ascii="Symbol" w:hAnsi="Symbol" w:hint="default"/>
      </w:rPr>
    </w:lvl>
    <w:lvl w:ilvl="1" w:tplc="08F6261A">
      <w:numFmt w:val="decimal"/>
      <w:lvlText w:val=""/>
      <w:lvlJc w:val="left"/>
    </w:lvl>
    <w:lvl w:ilvl="2" w:tplc="123A896E">
      <w:numFmt w:val="decimal"/>
      <w:lvlText w:val=""/>
      <w:lvlJc w:val="left"/>
    </w:lvl>
    <w:lvl w:ilvl="3" w:tplc="DB84EDE8">
      <w:numFmt w:val="decimal"/>
      <w:lvlText w:val=""/>
      <w:lvlJc w:val="left"/>
    </w:lvl>
    <w:lvl w:ilvl="4" w:tplc="A04045F4">
      <w:numFmt w:val="decimal"/>
      <w:lvlText w:val=""/>
      <w:lvlJc w:val="left"/>
    </w:lvl>
    <w:lvl w:ilvl="5" w:tplc="33AEF91A">
      <w:numFmt w:val="decimal"/>
      <w:lvlText w:val=""/>
      <w:lvlJc w:val="left"/>
    </w:lvl>
    <w:lvl w:ilvl="6" w:tplc="F4D646C4">
      <w:numFmt w:val="decimal"/>
      <w:lvlText w:val=""/>
      <w:lvlJc w:val="left"/>
    </w:lvl>
    <w:lvl w:ilvl="7" w:tplc="43CA216C">
      <w:numFmt w:val="decimal"/>
      <w:lvlText w:val=""/>
      <w:lvlJc w:val="left"/>
    </w:lvl>
    <w:lvl w:ilvl="8" w:tplc="ACE0BE8C">
      <w:numFmt w:val="decimal"/>
      <w:lvlText w:val=""/>
      <w:lvlJc w:val="left"/>
    </w:lvl>
  </w:abstractNum>
  <w:abstractNum w:abstractNumId="6" w15:restartNumberingAfterBreak="0">
    <w:nsid w:val="50244A37"/>
    <w:multiLevelType w:val="hybridMultilevel"/>
    <w:tmpl w:val="B7C6B9CC"/>
    <w:lvl w:ilvl="0" w:tplc="4482AB90">
      <w:start w:val="1"/>
      <w:numFmt w:val="bullet"/>
      <w:lvlText w:val=""/>
      <w:lvlJc w:val="left"/>
      <w:pPr>
        <w:tabs>
          <w:tab w:val="num" w:pos="1080"/>
        </w:tabs>
        <w:ind w:left="720" w:hanging="360"/>
      </w:pPr>
      <w:rPr>
        <w:rFonts w:ascii="Symbol" w:hAnsi="Symbol" w:hint="default"/>
      </w:rPr>
    </w:lvl>
    <w:lvl w:ilvl="1" w:tplc="3DC415F2">
      <w:numFmt w:val="decimal"/>
      <w:lvlText w:val=""/>
      <w:lvlJc w:val="left"/>
    </w:lvl>
    <w:lvl w:ilvl="2" w:tplc="338E3BF2">
      <w:numFmt w:val="decimal"/>
      <w:lvlText w:val=""/>
      <w:lvlJc w:val="left"/>
    </w:lvl>
    <w:lvl w:ilvl="3" w:tplc="37260A70">
      <w:numFmt w:val="decimal"/>
      <w:lvlText w:val=""/>
      <w:lvlJc w:val="left"/>
    </w:lvl>
    <w:lvl w:ilvl="4" w:tplc="DDBAB192">
      <w:numFmt w:val="decimal"/>
      <w:lvlText w:val=""/>
      <w:lvlJc w:val="left"/>
    </w:lvl>
    <w:lvl w:ilvl="5" w:tplc="D6040B66">
      <w:numFmt w:val="decimal"/>
      <w:lvlText w:val=""/>
      <w:lvlJc w:val="left"/>
    </w:lvl>
    <w:lvl w:ilvl="6" w:tplc="B1E04D6E">
      <w:numFmt w:val="decimal"/>
      <w:lvlText w:val=""/>
      <w:lvlJc w:val="left"/>
    </w:lvl>
    <w:lvl w:ilvl="7" w:tplc="E40885EA">
      <w:numFmt w:val="decimal"/>
      <w:lvlText w:val=""/>
      <w:lvlJc w:val="left"/>
    </w:lvl>
    <w:lvl w:ilvl="8" w:tplc="F9247532">
      <w:numFmt w:val="decimal"/>
      <w:lvlText w:val=""/>
      <w:lvlJc w:val="left"/>
    </w:lvl>
  </w:abstractNum>
  <w:abstractNum w:abstractNumId="7" w15:restartNumberingAfterBreak="0">
    <w:nsid w:val="758E2507"/>
    <w:multiLevelType w:val="hybridMultilevel"/>
    <w:tmpl w:val="7D4EA4E4"/>
    <w:lvl w:ilvl="0" w:tplc="33B2879E">
      <w:start w:val="1"/>
      <w:numFmt w:val="bullet"/>
      <w:lvlText w:val=""/>
      <w:lvlJc w:val="left"/>
      <w:pPr>
        <w:tabs>
          <w:tab w:val="num" w:pos="1080"/>
        </w:tabs>
        <w:ind w:left="720" w:hanging="360"/>
      </w:pPr>
      <w:rPr>
        <w:rFonts w:ascii="Symbol" w:hAnsi="Symbol" w:hint="default"/>
      </w:rPr>
    </w:lvl>
    <w:lvl w:ilvl="1" w:tplc="184EC646">
      <w:numFmt w:val="decimal"/>
      <w:lvlText w:val=""/>
      <w:lvlJc w:val="left"/>
    </w:lvl>
    <w:lvl w:ilvl="2" w:tplc="E7C657B2">
      <w:numFmt w:val="decimal"/>
      <w:lvlText w:val=""/>
      <w:lvlJc w:val="left"/>
    </w:lvl>
    <w:lvl w:ilvl="3" w:tplc="BCA45962">
      <w:numFmt w:val="decimal"/>
      <w:lvlText w:val=""/>
      <w:lvlJc w:val="left"/>
    </w:lvl>
    <w:lvl w:ilvl="4" w:tplc="768088F6">
      <w:numFmt w:val="decimal"/>
      <w:lvlText w:val=""/>
      <w:lvlJc w:val="left"/>
    </w:lvl>
    <w:lvl w:ilvl="5" w:tplc="EF729692">
      <w:numFmt w:val="decimal"/>
      <w:lvlText w:val=""/>
      <w:lvlJc w:val="left"/>
    </w:lvl>
    <w:lvl w:ilvl="6" w:tplc="091CC130">
      <w:numFmt w:val="decimal"/>
      <w:lvlText w:val=""/>
      <w:lvlJc w:val="left"/>
    </w:lvl>
    <w:lvl w:ilvl="7" w:tplc="D082B1DA">
      <w:numFmt w:val="decimal"/>
      <w:lvlText w:val=""/>
      <w:lvlJc w:val="left"/>
    </w:lvl>
    <w:lvl w:ilvl="8" w:tplc="6812E49E">
      <w:numFmt w:val="decimal"/>
      <w:lvlText w:val=""/>
      <w:lvlJc w:val="left"/>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B"/>
    <w:rsid w:val="000A6C9A"/>
    <w:rsid w:val="00270D0B"/>
    <w:rsid w:val="004A35AD"/>
    <w:rsid w:val="00607616"/>
    <w:rsid w:val="00784824"/>
    <w:rsid w:val="00794959"/>
    <w:rsid w:val="00834266"/>
    <w:rsid w:val="00B35220"/>
    <w:rsid w:val="00BB1727"/>
    <w:rsid w:val="00CC1E4F"/>
    <w:rsid w:val="00E30FF3"/>
    <w:rsid w:val="00EB2F37"/>
    <w:rsid w:val="00FE78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2549"/>
  <w15:docId w15:val="{F0FC371C-A5A2-425F-9F13-72111471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heme="minorHAnsi" w:cstheme="minorBidi"/>
        <w:sz w:val="28"/>
        <w:szCs w:val="22"/>
        <w:lang w:val="fr-FR"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2">
    <w:name w:val="heading 2"/>
    <w:basedOn w:val="a"/>
    <w:next w:val="a"/>
    <w:link w:val="20"/>
    <w:uiPriority w:val="9"/>
    <w:unhideWhenUsed/>
    <w:qFormat/>
    <w:rsid w:val="00CC1E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C1E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a1"/>
    <w:uiPriority w:val="39"/>
    <w:pPr>
      <w:spacing w:after="0" w:line="240" w:lineRule="auto"/>
    </w:pPr>
    <w:tblPr>
      <w:tblCellMar>
        <w:top w:w="80" w:type="dxa"/>
        <w:left w:w="160" w:type="dxa"/>
        <w:bottom w:w="80" w:type="dxa"/>
        <w:right w:w="160" w:type="dxa"/>
      </w:tblCellMar>
    </w:tblPr>
  </w:style>
  <w:style w:type="character" w:customStyle="1" w:styleId="20">
    <w:name w:val="Заголовок 2 Знак"/>
    <w:basedOn w:val="a0"/>
    <w:link w:val="2"/>
    <w:uiPriority w:val="9"/>
    <w:rsid w:val="00CC1E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CC1E4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5212</Words>
  <Characters>29710</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Jean Max Habib TAPE</cp:lastModifiedBy>
  <cp:revision>3</cp:revision>
  <dcterms:created xsi:type="dcterms:W3CDTF">2026-05-31T21:48:00Z</dcterms:created>
  <dcterms:modified xsi:type="dcterms:W3CDTF">2026-05-31T21:50:00Z</dcterms:modified>
</cp:coreProperties>
</file>