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44539" w14:textId="77777777" w:rsidR="00A55E49" w:rsidRDefault="00A55E49" w:rsidP="00A55E49">
      <w:pPr>
        <w:spacing w:line="360" w:lineRule="auto"/>
        <w:jc w:val="both"/>
        <w:rPr>
          <w:rFonts w:ascii="Times New Roman" w:hAnsi="Times New Roman"/>
          <w:b/>
          <w:sz w:val="24"/>
          <w:szCs w:val="24"/>
        </w:rPr>
      </w:pPr>
      <w:r w:rsidRPr="00E92BB0">
        <w:rPr>
          <w:rFonts w:ascii="Times New Roman" w:hAnsi="Times New Roman"/>
          <w:b/>
          <w:sz w:val="24"/>
          <w:szCs w:val="24"/>
        </w:rPr>
        <w:t xml:space="preserve">LEÇON I : L’ÉTAT, INSTITUTION INTERNATIONALE </w:t>
      </w:r>
    </w:p>
    <w:p w14:paraId="30305507" w14:textId="77777777" w:rsidR="00A55E49" w:rsidRPr="00A03CEE" w:rsidRDefault="00A55E49" w:rsidP="00A55E49">
      <w:pPr>
        <w:spacing w:line="360" w:lineRule="auto"/>
        <w:jc w:val="both"/>
        <w:rPr>
          <w:rFonts w:ascii="Times New Roman" w:hAnsi="Times New Roman"/>
          <w:sz w:val="24"/>
          <w:szCs w:val="24"/>
        </w:rPr>
      </w:pPr>
      <w:r>
        <w:rPr>
          <w:rFonts w:ascii="Times New Roman" w:hAnsi="Times New Roman"/>
          <w:b/>
          <w:sz w:val="24"/>
          <w:szCs w:val="24"/>
        </w:rPr>
        <w:t xml:space="preserve">         </w:t>
      </w:r>
      <w:r w:rsidRPr="00A03CEE">
        <w:rPr>
          <w:rFonts w:ascii="Times New Roman" w:hAnsi="Times New Roman"/>
          <w:sz w:val="24"/>
          <w:szCs w:val="24"/>
        </w:rPr>
        <w:t>Pour définir l’Etat, l’on retiendra la conception contemporaine et traditionnelle selon laquelle l’Etat est une personne morale (abstraite) de droit public (ayant en charge l’intérêt général) qui exerce son autorité souveraine sur un territoire à l’égard d’une population</w:t>
      </w:r>
      <w:r w:rsidRPr="00A03CEE">
        <w:rPr>
          <w:rStyle w:val="Appelnotedebasdep"/>
          <w:rFonts w:ascii="Times New Roman" w:hAnsi="Times New Roman"/>
          <w:sz w:val="24"/>
          <w:szCs w:val="24"/>
        </w:rPr>
        <w:footnoteReference w:id="1"/>
      </w:r>
      <w:r w:rsidRPr="00A03CEE">
        <w:rPr>
          <w:rFonts w:ascii="Times New Roman" w:hAnsi="Times New Roman"/>
          <w:sz w:val="24"/>
          <w:szCs w:val="24"/>
        </w:rPr>
        <w:t xml:space="preserve">. Les structures d’organisation politique, économique et sociale ayant la forme étatique apparurent en Afrique dès le </w:t>
      </w:r>
      <w:proofErr w:type="spellStart"/>
      <w:r w:rsidRPr="00A03CEE">
        <w:rPr>
          <w:rFonts w:ascii="Times New Roman" w:hAnsi="Times New Roman"/>
          <w:sz w:val="24"/>
          <w:szCs w:val="24"/>
        </w:rPr>
        <w:t>VIIè</w:t>
      </w:r>
      <w:proofErr w:type="spellEnd"/>
      <w:r w:rsidRPr="00A03CEE">
        <w:rPr>
          <w:rFonts w:ascii="Times New Roman" w:hAnsi="Times New Roman"/>
          <w:sz w:val="24"/>
          <w:szCs w:val="24"/>
        </w:rPr>
        <w:t xml:space="preserve"> siècle, mais leur reconnaissance fut très tardive. Plus tardive que celles qui dès le </w:t>
      </w:r>
      <w:proofErr w:type="spellStart"/>
      <w:r w:rsidRPr="00A03CEE">
        <w:rPr>
          <w:rFonts w:ascii="Times New Roman" w:hAnsi="Times New Roman"/>
          <w:sz w:val="24"/>
          <w:szCs w:val="24"/>
        </w:rPr>
        <w:t>XVIè</w:t>
      </w:r>
      <w:proofErr w:type="spellEnd"/>
      <w:r w:rsidRPr="00A03CEE">
        <w:rPr>
          <w:rFonts w:ascii="Times New Roman" w:hAnsi="Times New Roman"/>
          <w:sz w:val="24"/>
          <w:szCs w:val="24"/>
        </w:rPr>
        <w:t xml:space="preserve"> siècle naissaient en Occident sous la forme moderne de l’Etat. Il importe pour une meilleure compréhension de rappeler les éléments constitutifs de l’Etat (</w:t>
      </w:r>
      <w:r>
        <w:rPr>
          <w:rFonts w:ascii="Times New Roman" w:hAnsi="Times New Roman"/>
          <w:sz w:val="24"/>
          <w:szCs w:val="24"/>
        </w:rPr>
        <w:t xml:space="preserve">section </w:t>
      </w:r>
      <w:r w:rsidRPr="00A03CEE">
        <w:rPr>
          <w:rFonts w:ascii="Times New Roman" w:hAnsi="Times New Roman"/>
          <w:sz w:val="24"/>
          <w:szCs w:val="24"/>
        </w:rPr>
        <w:t>I), puis de revenir sur ses caractéristiques ainsi que ses compétences (</w:t>
      </w:r>
      <w:r>
        <w:rPr>
          <w:rFonts w:ascii="Times New Roman" w:hAnsi="Times New Roman"/>
          <w:sz w:val="24"/>
          <w:szCs w:val="24"/>
        </w:rPr>
        <w:t xml:space="preserve">section </w:t>
      </w:r>
      <w:r w:rsidRPr="00A03CEE">
        <w:rPr>
          <w:rFonts w:ascii="Times New Roman" w:hAnsi="Times New Roman"/>
          <w:sz w:val="24"/>
          <w:szCs w:val="24"/>
        </w:rPr>
        <w:t>II) et enfin d’envisager la question de sa reconnaissance (</w:t>
      </w:r>
      <w:r>
        <w:rPr>
          <w:rFonts w:ascii="Times New Roman" w:hAnsi="Times New Roman"/>
          <w:sz w:val="24"/>
          <w:szCs w:val="24"/>
        </w:rPr>
        <w:t xml:space="preserve">section </w:t>
      </w:r>
      <w:r w:rsidRPr="00A03CEE">
        <w:rPr>
          <w:rFonts w:ascii="Times New Roman" w:hAnsi="Times New Roman"/>
          <w:sz w:val="24"/>
          <w:szCs w:val="24"/>
        </w:rPr>
        <w:t xml:space="preserve">III). </w:t>
      </w:r>
    </w:p>
    <w:p w14:paraId="493AC5A9" w14:textId="77777777" w:rsidR="00A55E49" w:rsidRPr="00A03CEE" w:rsidRDefault="00A55E49" w:rsidP="00A55E49">
      <w:pPr>
        <w:spacing w:line="360" w:lineRule="auto"/>
        <w:jc w:val="both"/>
        <w:rPr>
          <w:rFonts w:ascii="Times New Roman" w:hAnsi="Times New Roman"/>
          <w:b/>
          <w:sz w:val="24"/>
          <w:szCs w:val="24"/>
        </w:rPr>
      </w:pPr>
      <w:r>
        <w:rPr>
          <w:rFonts w:ascii="Times New Roman" w:hAnsi="Times New Roman"/>
          <w:b/>
          <w:sz w:val="24"/>
          <w:szCs w:val="24"/>
        </w:rPr>
        <w:t xml:space="preserve">Section </w:t>
      </w:r>
      <w:r w:rsidRPr="00A03CEE">
        <w:rPr>
          <w:rFonts w:ascii="Times New Roman" w:hAnsi="Times New Roman"/>
          <w:b/>
          <w:sz w:val="24"/>
          <w:szCs w:val="24"/>
        </w:rPr>
        <w:t>I : Les éléments constitutifs de l’Etat</w:t>
      </w:r>
    </w:p>
    <w:p w14:paraId="6EBDBABF" w14:textId="77777777" w:rsidR="00A55E49" w:rsidRPr="00A03CEE" w:rsidRDefault="00A55E49" w:rsidP="00A55E49">
      <w:pPr>
        <w:spacing w:line="360" w:lineRule="auto"/>
        <w:jc w:val="both"/>
        <w:rPr>
          <w:rFonts w:ascii="Times New Roman" w:hAnsi="Times New Roman"/>
          <w:sz w:val="24"/>
          <w:szCs w:val="24"/>
        </w:rPr>
      </w:pPr>
      <w:r>
        <w:rPr>
          <w:rFonts w:ascii="Times New Roman" w:hAnsi="Times New Roman"/>
          <w:sz w:val="24"/>
          <w:szCs w:val="24"/>
        </w:rPr>
        <w:t xml:space="preserve">      </w:t>
      </w:r>
      <w:r w:rsidRPr="00A03CEE">
        <w:rPr>
          <w:rFonts w:ascii="Times New Roman" w:hAnsi="Times New Roman"/>
          <w:sz w:val="24"/>
          <w:szCs w:val="24"/>
        </w:rPr>
        <w:t>Il résulte de la définition de l’Etat, tirée du droit international, trois principaux éléments que sont le pouvoir politique</w:t>
      </w:r>
      <w:r>
        <w:rPr>
          <w:rFonts w:ascii="Times New Roman" w:hAnsi="Times New Roman"/>
          <w:sz w:val="24"/>
          <w:szCs w:val="24"/>
        </w:rPr>
        <w:t xml:space="preserve"> (Paragraphe I), le territoire (Paragraphe II</w:t>
      </w:r>
      <w:r w:rsidRPr="00A03CEE">
        <w:rPr>
          <w:rFonts w:ascii="Times New Roman" w:hAnsi="Times New Roman"/>
          <w:sz w:val="24"/>
          <w:szCs w:val="24"/>
        </w:rPr>
        <w:t>) et l</w:t>
      </w:r>
      <w:r>
        <w:rPr>
          <w:rFonts w:ascii="Times New Roman" w:hAnsi="Times New Roman"/>
          <w:sz w:val="24"/>
          <w:szCs w:val="24"/>
        </w:rPr>
        <w:t>a population (Paragraphe III</w:t>
      </w:r>
      <w:r w:rsidRPr="00A03CEE">
        <w:rPr>
          <w:rFonts w:ascii="Times New Roman" w:hAnsi="Times New Roman"/>
          <w:sz w:val="24"/>
          <w:szCs w:val="24"/>
        </w:rPr>
        <w:t>).</w:t>
      </w:r>
    </w:p>
    <w:p w14:paraId="7FB22B84" w14:textId="77777777" w:rsidR="00A55E49" w:rsidRPr="00A03CEE" w:rsidRDefault="00A55E49" w:rsidP="00A55E49">
      <w:pPr>
        <w:spacing w:line="360" w:lineRule="auto"/>
        <w:jc w:val="both"/>
        <w:rPr>
          <w:rFonts w:ascii="Times New Roman" w:hAnsi="Times New Roman"/>
          <w:b/>
          <w:sz w:val="24"/>
          <w:szCs w:val="24"/>
        </w:rPr>
      </w:pPr>
      <w:r w:rsidRPr="00E92BB0">
        <w:rPr>
          <w:rFonts w:ascii="Times New Roman" w:hAnsi="Times New Roman"/>
          <w:b/>
          <w:sz w:val="24"/>
          <w:szCs w:val="24"/>
        </w:rPr>
        <w:t xml:space="preserve">Paragraphe </w:t>
      </w:r>
      <w:proofErr w:type="gramStart"/>
      <w:r w:rsidRPr="00E92BB0">
        <w:rPr>
          <w:rFonts w:ascii="Times New Roman" w:hAnsi="Times New Roman"/>
          <w:b/>
          <w:sz w:val="24"/>
          <w:szCs w:val="24"/>
        </w:rPr>
        <w:t>I</w:t>
      </w:r>
      <w:r w:rsidRPr="00A03CEE">
        <w:rPr>
          <w:rFonts w:ascii="Times New Roman" w:hAnsi="Times New Roman"/>
          <w:b/>
          <w:sz w:val="24"/>
          <w:szCs w:val="24"/>
        </w:rPr>
        <w:t>:</w:t>
      </w:r>
      <w:proofErr w:type="gramEnd"/>
      <w:r w:rsidRPr="00A03CEE">
        <w:rPr>
          <w:rFonts w:ascii="Times New Roman" w:hAnsi="Times New Roman"/>
          <w:b/>
          <w:sz w:val="24"/>
          <w:szCs w:val="24"/>
        </w:rPr>
        <w:t xml:space="preserve"> Le pouvoir politique</w:t>
      </w:r>
    </w:p>
    <w:p w14:paraId="713C6A26" w14:textId="77777777" w:rsidR="00A55E49" w:rsidRPr="00A03CEE" w:rsidRDefault="00A55E49" w:rsidP="00A55E49">
      <w:pPr>
        <w:spacing w:line="360" w:lineRule="auto"/>
        <w:jc w:val="both"/>
        <w:rPr>
          <w:rFonts w:ascii="Times New Roman" w:hAnsi="Times New Roman"/>
          <w:sz w:val="24"/>
          <w:szCs w:val="24"/>
        </w:rPr>
      </w:pPr>
      <w:r>
        <w:rPr>
          <w:rFonts w:ascii="Times New Roman" w:hAnsi="Times New Roman"/>
          <w:sz w:val="24"/>
          <w:szCs w:val="24"/>
        </w:rPr>
        <w:t xml:space="preserve">    </w:t>
      </w:r>
      <w:r w:rsidRPr="00A03CEE">
        <w:rPr>
          <w:rFonts w:ascii="Times New Roman" w:hAnsi="Times New Roman"/>
          <w:sz w:val="24"/>
          <w:szCs w:val="24"/>
        </w:rPr>
        <w:t>En substance, le pouvoir politique traduit la « fonction de commandement, exercée par les gouvernants, dans la conduite des affaires publiques »</w:t>
      </w:r>
      <w:r w:rsidRPr="00A03CEE">
        <w:rPr>
          <w:rStyle w:val="Appelnotedebasdep"/>
          <w:rFonts w:ascii="Times New Roman" w:hAnsi="Times New Roman"/>
          <w:sz w:val="24"/>
          <w:szCs w:val="24"/>
        </w:rPr>
        <w:footnoteReference w:id="2"/>
      </w:r>
      <w:r w:rsidRPr="00A03CEE">
        <w:rPr>
          <w:rFonts w:ascii="Times New Roman" w:hAnsi="Times New Roman"/>
          <w:sz w:val="24"/>
          <w:szCs w:val="24"/>
        </w:rPr>
        <w:t xml:space="preserve">. Sa forme juridique est le gouvernement. </w:t>
      </w:r>
      <w:r w:rsidRPr="00A03CEE">
        <w:rPr>
          <w:rFonts w:ascii="Times New Roman" w:hAnsi="Times New Roman"/>
          <w:i/>
          <w:sz w:val="24"/>
          <w:szCs w:val="24"/>
        </w:rPr>
        <w:t>Lato sensu</w:t>
      </w:r>
      <w:r w:rsidRPr="00A03CEE">
        <w:rPr>
          <w:rFonts w:ascii="Times New Roman" w:hAnsi="Times New Roman"/>
          <w:sz w:val="24"/>
          <w:szCs w:val="24"/>
        </w:rPr>
        <w:t xml:space="preserve">, constituent le gouvernement : le pouvoir exécutif, législatif, la justice, les forces de l’ordre public ainsi que l’administration publique. Stricto sensu, le gouvernement est circonscrit au pouvoir exécutif, c’est-à-dire le président de la </w:t>
      </w:r>
      <w:proofErr w:type="gramStart"/>
      <w:r w:rsidRPr="00A03CEE">
        <w:rPr>
          <w:rFonts w:ascii="Times New Roman" w:hAnsi="Times New Roman"/>
          <w:sz w:val="24"/>
          <w:szCs w:val="24"/>
        </w:rPr>
        <w:t>république</w:t>
      </w:r>
      <w:proofErr w:type="gramEnd"/>
      <w:r w:rsidRPr="00A03CEE">
        <w:rPr>
          <w:rFonts w:ascii="Times New Roman" w:hAnsi="Times New Roman"/>
          <w:sz w:val="24"/>
          <w:szCs w:val="24"/>
        </w:rPr>
        <w:t xml:space="preserve">, le premier ministre, les ministres et secrétaires d’Etat. </w:t>
      </w:r>
    </w:p>
    <w:p w14:paraId="35C1361B" w14:textId="77777777" w:rsidR="00A55E49" w:rsidRDefault="00A55E49" w:rsidP="00A55E49">
      <w:pPr>
        <w:spacing w:line="360" w:lineRule="auto"/>
        <w:jc w:val="both"/>
        <w:rPr>
          <w:rFonts w:ascii="Times New Roman" w:hAnsi="Times New Roman"/>
          <w:sz w:val="24"/>
          <w:szCs w:val="24"/>
        </w:rPr>
      </w:pPr>
      <w:r w:rsidRPr="00A03CEE">
        <w:rPr>
          <w:rFonts w:ascii="Times New Roman" w:hAnsi="Times New Roman"/>
          <w:sz w:val="24"/>
          <w:szCs w:val="24"/>
        </w:rPr>
        <w:t>Il revient au droit constitutionnel interne la détermination de l’organisation du pouvoir politique qui s’exerce sur le territoire de l’Etat.</w:t>
      </w:r>
    </w:p>
    <w:p w14:paraId="50457EDA" w14:textId="77777777" w:rsidR="00A55E49" w:rsidRPr="00A03CEE" w:rsidRDefault="00A55E49" w:rsidP="00A55E49">
      <w:pPr>
        <w:spacing w:line="360" w:lineRule="auto"/>
        <w:jc w:val="both"/>
        <w:rPr>
          <w:rFonts w:ascii="Times New Roman" w:hAnsi="Times New Roman"/>
          <w:sz w:val="24"/>
          <w:szCs w:val="24"/>
        </w:rPr>
      </w:pPr>
    </w:p>
    <w:p w14:paraId="15205142" w14:textId="77777777" w:rsidR="00A55E49" w:rsidRPr="00A03CEE" w:rsidRDefault="00A55E49" w:rsidP="00A55E49">
      <w:pPr>
        <w:spacing w:line="360" w:lineRule="auto"/>
        <w:jc w:val="both"/>
        <w:rPr>
          <w:rFonts w:ascii="Times New Roman" w:hAnsi="Times New Roman"/>
          <w:b/>
          <w:sz w:val="24"/>
          <w:szCs w:val="24"/>
        </w:rPr>
      </w:pPr>
      <w:r w:rsidRPr="00E92BB0">
        <w:rPr>
          <w:rFonts w:ascii="Times New Roman" w:hAnsi="Times New Roman"/>
          <w:b/>
          <w:sz w:val="24"/>
          <w:szCs w:val="24"/>
        </w:rPr>
        <w:t xml:space="preserve">Paragraphe </w:t>
      </w:r>
      <w:proofErr w:type="gramStart"/>
      <w:r w:rsidRPr="00E92BB0">
        <w:rPr>
          <w:rFonts w:ascii="Times New Roman" w:hAnsi="Times New Roman"/>
          <w:b/>
          <w:sz w:val="24"/>
          <w:szCs w:val="24"/>
        </w:rPr>
        <w:t>I</w:t>
      </w:r>
      <w:r>
        <w:rPr>
          <w:rFonts w:ascii="Times New Roman" w:hAnsi="Times New Roman"/>
          <w:b/>
          <w:sz w:val="24"/>
          <w:szCs w:val="24"/>
        </w:rPr>
        <w:t>I</w:t>
      </w:r>
      <w:r w:rsidRPr="00A03CEE">
        <w:rPr>
          <w:rFonts w:ascii="Times New Roman" w:hAnsi="Times New Roman"/>
          <w:b/>
          <w:sz w:val="24"/>
          <w:szCs w:val="24"/>
        </w:rPr>
        <w:t>:</w:t>
      </w:r>
      <w:proofErr w:type="gramEnd"/>
      <w:r w:rsidRPr="00A03CEE">
        <w:rPr>
          <w:rFonts w:ascii="Times New Roman" w:hAnsi="Times New Roman"/>
          <w:b/>
          <w:sz w:val="24"/>
          <w:szCs w:val="24"/>
        </w:rPr>
        <w:t xml:space="preserve"> Le territoire</w:t>
      </w:r>
    </w:p>
    <w:p w14:paraId="13D9FF36" w14:textId="77777777" w:rsidR="00A55E49" w:rsidRPr="00A03CEE" w:rsidRDefault="00A55E49" w:rsidP="00A55E49">
      <w:pPr>
        <w:spacing w:line="360" w:lineRule="auto"/>
        <w:jc w:val="both"/>
        <w:rPr>
          <w:rFonts w:ascii="Times New Roman" w:hAnsi="Times New Roman"/>
          <w:sz w:val="24"/>
          <w:szCs w:val="24"/>
        </w:rPr>
      </w:pPr>
      <w:r>
        <w:rPr>
          <w:rFonts w:ascii="Times New Roman" w:hAnsi="Times New Roman"/>
          <w:sz w:val="24"/>
          <w:szCs w:val="24"/>
        </w:rPr>
        <w:lastRenderedPageBreak/>
        <w:t xml:space="preserve">      </w:t>
      </w:r>
      <w:r w:rsidRPr="00A03CEE">
        <w:rPr>
          <w:rFonts w:ascii="Times New Roman" w:hAnsi="Times New Roman"/>
          <w:sz w:val="24"/>
          <w:szCs w:val="24"/>
        </w:rPr>
        <w:t>On peut définir le territoire comme l’espace géographique sur l’étendue duquel s’exerce de manière souveraine et exclusive l’autorité politique. Le territoire représente ainsi le support matériel de l’Etat. Il ne saurait exister d’Etat nomade.</w:t>
      </w:r>
    </w:p>
    <w:p w14:paraId="2D2070DE" w14:textId="77777777" w:rsidR="00A55E49" w:rsidRPr="00A03CEE" w:rsidRDefault="00A55E49" w:rsidP="00A55E49">
      <w:pPr>
        <w:spacing w:line="360" w:lineRule="auto"/>
        <w:jc w:val="both"/>
        <w:rPr>
          <w:rFonts w:ascii="Times New Roman" w:hAnsi="Times New Roman"/>
          <w:sz w:val="24"/>
          <w:szCs w:val="24"/>
        </w:rPr>
      </w:pPr>
      <w:r w:rsidRPr="00A03CEE">
        <w:rPr>
          <w:rFonts w:ascii="Times New Roman" w:hAnsi="Times New Roman"/>
          <w:sz w:val="24"/>
          <w:szCs w:val="24"/>
        </w:rPr>
        <w:t>Concrètement, le territoire comprend l’espace terrestre</w:t>
      </w:r>
      <w:r>
        <w:rPr>
          <w:rFonts w:ascii="Times New Roman" w:hAnsi="Times New Roman"/>
          <w:sz w:val="24"/>
          <w:szCs w:val="24"/>
        </w:rPr>
        <w:t xml:space="preserve"> (1</w:t>
      </w:r>
      <w:r w:rsidRPr="00A03CEE">
        <w:rPr>
          <w:rFonts w:ascii="Times New Roman" w:hAnsi="Times New Roman"/>
          <w:sz w:val="24"/>
          <w:szCs w:val="24"/>
        </w:rPr>
        <w:t>), l’espace aérien</w:t>
      </w:r>
      <w:r>
        <w:rPr>
          <w:rFonts w:ascii="Times New Roman" w:hAnsi="Times New Roman"/>
          <w:sz w:val="24"/>
          <w:szCs w:val="24"/>
        </w:rPr>
        <w:t xml:space="preserve"> (II</w:t>
      </w:r>
      <w:r w:rsidRPr="00A03CEE">
        <w:rPr>
          <w:rFonts w:ascii="Times New Roman" w:hAnsi="Times New Roman"/>
          <w:sz w:val="24"/>
          <w:szCs w:val="24"/>
        </w:rPr>
        <w:t>) et l’espace maritime</w:t>
      </w:r>
      <w:r>
        <w:rPr>
          <w:rFonts w:ascii="Times New Roman" w:hAnsi="Times New Roman"/>
          <w:sz w:val="24"/>
          <w:szCs w:val="24"/>
        </w:rPr>
        <w:t xml:space="preserve"> (III</w:t>
      </w:r>
      <w:r w:rsidRPr="00A03CEE">
        <w:rPr>
          <w:rFonts w:ascii="Times New Roman" w:hAnsi="Times New Roman"/>
          <w:sz w:val="24"/>
          <w:szCs w:val="24"/>
        </w:rPr>
        <w:t>).</w:t>
      </w:r>
    </w:p>
    <w:p w14:paraId="5096BB9B" w14:textId="77777777" w:rsidR="00A55E49" w:rsidRPr="00A03CEE" w:rsidRDefault="00A55E49" w:rsidP="00A55E49">
      <w:pPr>
        <w:spacing w:line="360" w:lineRule="auto"/>
        <w:jc w:val="both"/>
        <w:rPr>
          <w:rFonts w:ascii="Times New Roman" w:hAnsi="Times New Roman"/>
          <w:sz w:val="24"/>
          <w:szCs w:val="24"/>
        </w:rPr>
      </w:pPr>
      <w:r>
        <w:rPr>
          <w:rFonts w:ascii="Times New Roman" w:hAnsi="Times New Roman"/>
          <w:b/>
          <w:sz w:val="24"/>
          <w:szCs w:val="24"/>
        </w:rPr>
        <w:t>I</w:t>
      </w:r>
      <w:r w:rsidRPr="00A03CEE">
        <w:rPr>
          <w:rFonts w:ascii="Times New Roman" w:hAnsi="Times New Roman"/>
          <w:b/>
          <w:sz w:val="24"/>
          <w:szCs w:val="24"/>
        </w:rPr>
        <w:t xml:space="preserve"> - L’espace terrestre</w:t>
      </w:r>
      <w:r w:rsidRPr="00A03CEE">
        <w:rPr>
          <w:rFonts w:ascii="Times New Roman" w:hAnsi="Times New Roman"/>
          <w:sz w:val="24"/>
          <w:szCs w:val="24"/>
        </w:rPr>
        <w:t xml:space="preserve"> </w:t>
      </w:r>
    </w:p>
    <w:p w14:paraId="41A803AC" w14:textId="77777777" w:rsidR="00A55E49" w:rsidRPr="00A03CEE" w:rsidRDefault="00A55E49" w:rsidP="00A55E49">
      <w:pPr>
        <w:spacing w:line="360" w:lineRule="auto"/>
        <w:jc w:val="both"/>
        <w:rPr>
          <w:rFonts w:ascii="Times New Roman" w:hAnsi="Times New Roman"/>
          <w:sz w:val="24"/>
          <w:szCs w:val="24"/>
        </w:rPr>
      </w:pPr>
      <w:r>
        <w:rPr>
          <w:rFonts w:ascii="Times New Roman" w:hAnsi="Times New Roman"/>
          <w:sz w:val="24"/>
          <w:szCs w:val="24"/>
        </w:rPr>
        <w:t xml:space="preserve">     </w:t>
      </w:r>
      <w:r w:rsidRPr="00A03CEE">
        <w:rPr>
          <w:rFonts w:ascii="Times New Roman" w:hAnsi="Times New Roman"/>
          <w:sz w:val="24"/>
          <w:szCs w:val="24"/>
        </w:rPr>
        <w:t>Il est délimité par des frontières, qu’elles soient naturelles ou artificielles. Dans de nombreux cas, les tracés n’ont pas été obtenus sans conséquences pour les populations. L’exemple des Etats africains dont les frontières sont issues de la période coloniale est très illustratif.</w:t>
      </w:r>
    </w:p>
    <w:p w14:paraId="65A1B992" w14:textId="77777777" w:rsidR="00A55E49" w:rsidRPr="00A03CEE" w:rsidRDefault="00A55E49" w:rsidP="00A55E49">
      <w:pPr>
        <w:spacing w:line="360" w:lineRule="auto"/>
        <w:jc w:val="both"/>
        <w:rPr>
          <w:rFonts w:ascii="Times New Roman" w:hAnsi="Times New Roman"/>
          <w:sz w:val="24"/>
          <w:szCs w:val="24"/>
        </w:rPr>
      </w:pPr>
      <w:r>
        <w:rPr>
          <w:rFonts w:ascii="Times New Roman" w:hAnsi="Times New Roman"/>
          <w:sz w:val="24"/>
          <w:szCs w:val="24"/>
        </w:rPr>
        <w:t xml:space="preserve">    </w:t>
      </w:r>
      <w:r w:rsidRPr="00A03CEE">
        <w:rPr>
          <w:rFonts w:ascii="Times New Roman" w:hAnsi="Times New Roman"/>
          <w:sz w:val="24"/>
          <w:szCs w:val="24"/>
        </w:rPr>
        <w:t xml:space="preserve">Le territoire terrestre est constitué du sol et du sous-sol. L’étendue ou la superficie du territoire étatique n’est déterminée par aucun texte. Aussi les superficies des Etats varient-elles : la Russie (17.075.000 km2, 142 millions d’hab.) ; la Chine (9.600.000 km2, 1.350.000.000 d’hab.) ; la Grenade (344 km2, 120.000 hab.).   </w:t>
      </w:r>
    </w:p>
    <w:p w14:paraId="0858F8F3" w14:textId="77777777" w:rsidR="00A55E49" w:rsidRPr="00A03CEE" w:rsidRDefault="00A55E49" w:rsidP="00A55E49">
      <w:pPr>
        <w:spacing w:line="360" w:lineRule="auto"/>
        <w:jc w:val="both"/>
        <w:rPr>
          <w:rFonts w:ascii="Times New Roman" w:hAnsi="Times New Roman"/>
          <w:sz w:val="24"/>
          <w:szCs w:val="24"/>
        </w:rPr>
      </w:pPr>
      <w:r>
        <w:rPr>
          <w:rFonts w:ascii="Times New Roman" w:hAnsi="Times New Roman"/>
          <w:b/>
          <w:sz w:val="24"/>
          <w:szCs w:val="24"/>
        </w:rPr>
        <w:t>II</w:t>
      </w:r>
      <w:r w:rsidRPr="00A03CEE">
        <w:rPr>
          <w:rFonts w:ascii="Times New Roman" w:hAnsi="Times New Roman"/>
          <w:b/>
          <w:sz w:val="24"/>
          <w:szCs w:val="24"/>
        </w:rPr>
        <w:t xml:space="preserve"> - Le territoire marin</w:t>
      </w:r>
      <w:r w:rsidRPr="00A03CEE">
        <w:rPr>
          <w:rFonts w:ascii="Times New Roman" w:hAnsi="Times New Roman"/>
          <w:sz w:val="24"/>
          <w:szCs w:val="24"/>
        </w:rPr>
        <w:t xml:space="preserve"> </w:t>
      </w:r>
    </w:p>
    <w:p w14:paraId="58532CC3" w14:textId="77777777" w:rsidR="00A55E49" w:rsidRPr="00A03CEE" w:rsidRDefault="00A55E49" w:rsidP="00A55E49">
      <w:pPr>
        <w:spacing w:line="360" w:lineRule="auto"/>
        <w:jc w:val="both"/>
        <w:rPr>
          <w:rFonts w:ascii="Times New Roman" w:hAnsi="Times New Roman"/>
          <w:sz w:val="24"/>
          <w:szCs w:val="24"/>
        </w:rPr>
      </w:pPr>
      <w:r>
        <w:rPr>
          <w:rFonts w:ascii="Times New Roman" w:hAnsi="Times New Roman"/>
          <w:sz w:val="24"/>
          <w:szCs w:val="24"/>
        </w:rPr>
        <w:t xml:space="preserve">    </w:t>
      </w:r>
      <w:r w:rsidRPr="00A03CEE">
        <w:rPr>
          <w:rFonts w:ascii="Times New Roman" w:hAnsi="Times New Roman"/>
          <w:sz w:val="24"/>
          <w:szCs w:val="24"/>
        </w:rPr>
        <w:t>Il est composé des eaux intérieures (eaux portuaires, rades, havres, baies), la mer territoriale (12 milles marins : 22,250 km) et la zone économique exclusive (200 milles marins : 370 km).</w:t>
      </w:r>
    </w:p>
    <w:p w14:paraId="09E90E4F" w14:textId="77777777" w:rsidR="00A55E49" w:rsidRPr="00A03CEE" w:rsidRDefault="00A55E49" w:rsidP="00A55E49">
      <w:pPr>
        <w:spacing w:line="360" w:lineRule="auto"/>
        <w:jc w:val="both"/>
        <w:rPr>
          <w:rFonts w:ascii="Times New Roman" w:hAnsi="Times New Roman"/>
          <w:sz w:val="24"/>
          <w:szCs w:val="24"/>
        </w:rPr>
      </w:pPr>
      <w:r>
        <w:rPr>
          <w:rFonts w:ascii="Times New Roman" w:hAnsi="Times New Roman"/>
          <w:sz w:val="24"/>
          <w:szCs w:val="24"/>
        </w:rPr>
        <w:t xml:space="preserve">   </w:t>
      </w:r>
      <w:r w:rsidRPr="00A03CEE">
        <w:rPr>
          <w:rFonts w:ascii="Times New Roman" w:hAnsi="Times New Roman"/>
          <w:sz w:val="24"/>
          <w:szCs w:val="24"/>
        </w:rPr>
        <w:t xml:space="preserve">Alors que la souveraineté de l’Etat côtier ou riverain sur les eaux intérieures et la mer territoriale est exclusive, quant à la zone économique exclusive, les droits de l’Etat ne portent que sur l’exploitation des ressources biologiques de la colonne d’eau et du sous-sol. </w:t>
      </w:r>
    </w:p>
    <w:p w14:paraId="4CD69B87" w14:textId="77777777" w:rsidR="00A55E49" w:rsidRPr="00A03CEE" w:rsidRDefault="00A55E49" w:rsidP="00A55E49">
      <w:pPr>
        <w:spacing w:line="360" w:lineRule="auto"/>
        <w:jc w:val="both"/>
        <w:rPr>
          <w:rFonts w:ascii="Times New Roman" w:hAnsi="Times New Roman"/>
          <w:sz w:val="24"/>
          <w:szCs w:val="24"/>
        </w:rPr>
      </w:pPr>
      <w:r>
        <w:rPr>
          <w:rFonts w:ascii="Times New Roman" w:hAnsi="Times New Roman"/>
          <w:b/>
          <w:sz w:val="24"/>
          <w:szCs w:val="24"/>
        </w:rPr>
        <w:t>III</w:t>
      </w:r>
      <w:r w:rsidRPr="00A03CEE">
        <w:rPr>
          <w:rFonts w:ascii="Times New Roman" w:hAnsi="Times New Roman"/>
          <w:b/>
          <w:sz w:val="24"/>
          <w:szCs w:val="24"/>
        </w:rPr>
        <w:t xml:space="preserve"> - L’espace aérien</w:t>
      </w:r>
      <w:r w:rsidRPr="00A03CEE">
        <w:rPr>
          <w:rFonts w:ascii="Times New Roman" w:hAnsi="Times New Roman"/>
          <w:sz w:val="24"/>
          <w:szCs w:val="24"/>
        </w:rPr>
        <w:t xml:space="preserve"> </w:t>
      </w:r>
    </w:p>
    <w:p w14:paraId="60197809" w14:textId="77777777" w:rsidR="00A55E49" w:rsidRPr="00A03CEE" w:rsidRDefault="00A55E49" w:rsidP="00A55E49">
      <w:pPr>
        <w:spacing w:line="360" w:lineRule="auto"/>
        <w:jc w:val="both"/>
        <w:rPr>
          <w:rFonts w:ascii="Times New Roman" w:hAnsi="Times New Roman"/>
          <w:sz w:val="24"/>
          <w:szCs w:val="24"/>
        </w:rPr>
      </w:pPr>
      <w:r>
        <w:rPr>
          <w:rFonts w:ascii="Times New Roman" w:hAnsi="Times New Roman"/>
          <w:sz w:val="24"/>
          <w:szCs w:val="24"/>
        </w:rPr>
        <w:t xml:space="preserve">      </w:t>
      </w:r>
      <w:r w:rsidRPr="00A03CEE">
        <w:rPr>
          <w:rFonts w:ascii="Times New Roman" w:hAnsi="Times New Roman"/>
          <w:sz w:val="24"/>
          <w:szCs w:val="24"/>
        </w:rPr>
        <w:t xml:space="preserve">Il surplombe le territoire terrestre et une partie de l’espace maritime comprenant les eaux intérieures et la mer territoriale à l’exclusion de la zone économique exclusive et de la haute mer. Il en résulte que l’Etat exerce sa souveraineté sur son espace aérien, de sorte que tout accès à cet espace doit obtenir son autorisation. Aussi le développement des communications entre Etats a rendu nécessaire la conclusion d’une convention (Chicago du 7 décembre 1944) permettant le libre survol des espaces atmosphériques aux avions civils des Etats membres et soumettant celui des avions militaires à une autorisation. Créée en 1944, l’organisation de l’aviation civile internationale (O.A.C.I.), devenue depuis 1947 une institution spécialisée des Nations Unies, a pour mission de régler les problèmes posés par la navigation aérienne. </w:t>
      </w:r>
    </w:p>
    <w:p w14:paraId="4C1EE3FC" w14:textId="77777777" w:rsidR="00A55E49" w:rsidRPr="00A03CEE" w:rsidRDefault="00A55E49" w:rsidP="00A55E49">
      <w:pPr>
        <w:spacing w:line="360" w:lineRule="auto"/>
        <w:jc w:val="both"/>
        <w:rPr>
          <w:rFonts w:ascii="Times New Roman" w:hAnsi="Times New Roman"/>
          <w:sz w:val="24"/>
          <w:szCs w:val="24"/>
        </w:rPr>
      </w:pPr>
      <w:r w:rsidRPr="00A03CEE">
        <w:rPr>
          <w:rFonts w:ascii="Times New Roman" w:hAnsi="Times New Roman"/>
          <w:sz w:val="24"/>
          <w:szCs w:val="24"/>
        </w:rPr>
        <w:lastRenderedPageBreak/>
        <w:t>Le territoire ainsi présenté est un élément essentiel de sédentarisation des populations de l’Etat.</w:t>
      </w:r>
    </w:p>
    <w:p w14:paraId="581D17E8" w14:textId="77777777" w:rsidR="00A55E49" w:rsidRPr="00A03CEE" w:rsidRDefault="00A55E49" w:rsidP="00A55E49">
      <w:pPr>
        <w:spacing w:line="360" w:lineRule="auto"/>
        <w:jc w:val="both"/>
        <w:rPr>
          <w:rFonts w:ascii="Times New Roman" w:hAnsi="Times New Roman"/>
          <w:b/>
          <w:sz w:val="24"/>
          <w:szCs w:val="24"/>
        </w:rPr>
      </w:pPr>
      <w:r w:rsidRPr="00E92BB0">
        <w:rPr>
          <w:rFonts w:ascii="Times New Roman" w:hAnsi="Times New Roman"/>
          <w:b/>
          <w:sz w:val="24"/>
          <w:szCs w:val="24"/>
        </w:rPr>
        <w:t xml:space="preserve">Paragraphe </w:t>
      </w:r>
      <w:proofErr w:type="gramStart"/>
      <w:r w:rsidRPr="00E92BB0">
        <w:rPr>
          <w:rFonts w:ascii="Times New Roman" w:hAnsi="Times New Roman"/>
          <w:b/>
          <w:sz w:val="24"/>
          <w:szCs w:val="24"/>
        </w:rPr>
        <w:t>I</w:t>
      </w:r>
      <w:r>
        <w:rPr>
          <w:rFonts w:ascii="Times New Roman" w:hAnsi="Times New Roman"/>
          <w:b/>
          <w:sz w:val="24"/>
          <w:szCs w:val="24"/>
        </w:rPr>
        <w:t>II</w:t>
      </w:r>
      <w:r w:rsidRPr="00A03CEE">
        <w:rPr>
          <w:rFonts w:ascii="Times New Roman" w:hAnsi="Times New Roman"/>
          <w:b/>
          <w:sz w:val="24"/>
          <w:szCs w:val="24"/>
        </w:rPr>
        <w:t>:</w:t>
      </w:r>
      <w:proofErr w:type="gramEnd"/>
      <w:r w:rsidRPr="00A03CEE">
        <w:rPr>
          <w:rFonts w:ascii="Times New Roman" w:hAnsi="Times New Roman"/>
          <w:b/>
          <w:sz w:val="24"/>
          <w:szCs w:val="24"/>
        </w:rPr>
        <w:t xml:space="preserve"> La population</w:t>
      </w:r>
    </w:p>
    <w:p w14:paraId="6F2B058E" w14:textId="77777777" w:rsidR="00A55E49" w:rsidRPr="00A03CEE" w:rsidRDefault="00A55E49" w:rsidP="00A55E49">
      <w:pPr>
        <w:spacing w:line="360" w:lineRule="auto"/>
        <w:jc w:val="both"/>
        <w:rPr>
          <w:rFonts w:ascii="Times New Roman" w:hAnsi="Times New Roman"/>
          <w:sz w:val="24"/>
          <w:szCs w:val="24"/>
        </w:rPr>
      </w:pPr>
      <w:r>
        <w:rPr>
          <w:rFonts w:ascii="Times New Roman" w:hAnsi="Times New Roman"/>
          <w:sz w:val="24"/>
          <w:szCs w:val="24"/>
        </w:rPr>
        <w:t xml:space="preserve">    </w:t>
      </w:r>
      <w:r w:rsidRPr="00A03CEE">
        <w:rPr>
          <w:rFonts w:ascii="Times New Roman" w:hAnsi="Times New Roman"/>
          <w:sz w:val="24"/>
          <w:szCs w:val="24"/>
        </w:rPr>
        <w:t xml:space="preserve">La population peut être définie comme l’ensemble des individus vivant sur un territoire et sur lesquels l’Etat exerce son autorité. Elle se compose de nationaux et d’étrangers dont les statuts soulèvent des problèmes </w:t>
      </w:r>
      <w:proofErr w:type="gramStart"/>
      <w:r w:rsidRPr="00A03CEE">
        <w:rPr>
          <w:rFonts w:ascii="Times New Roman" w:hAnsi="Times New Roman"/>
          <w:sz w:val="24"/>
          <w:szCs w:val="24"/>
        </w:rPr>
        <w:t>au</w:t>
      </w:r>
      <w:proofErr w:type="gramEnd"/>
      <w:r w:rsidRPr="00A03CEE">
        <w:rPr>
          <w:rFonts w:ascii="Times New Roman" w:hAnsi="Times New Roman"/>
          <w:sz w:val="24"/>
          <w:szCs w:val="24"/>
        </w:rPr>
        <w:t xml:space="preserve"> plan international.</w:t>
      </w:r>
      <w:r>
        <w:rPr>
          <w:rFonts w:ascii="Times New Roman" w:hAnsi="Times New Roman"/>
          <w:sz w:val="24"/>
          <w:szCs w:val="24"/>
        </w:rPr>
        <w:t xml:space="preserve"> </w:t>
      </w:r>
    </w:p>
    <w:p w14:paraId="60811677" w14:textId="77777777" w:rsidR="00A55E49" w:rsidRPr="00A03CEE" w:rsidRDefault="00A55E49" w:rsidP="00A55E49">
      <w:pPr>
        <w:spacing w:line="360" w:lineRule="auto"/>
        <w:jc w:val="both"/>
        <w:rPr>
          <w:rFonts w:ascii="Times New Roman" w:hAnsi="Times New Roman"/>
          <w:b/>
          <w:sz w:val="24"/>
          <w:szCs w:val="24"/>
        </w:rPr>
      </w:pPr>
      <w:r>
        <w:rPr>
          <w:rFonts w:ascii="Times New Roman" w:hAnsi="Times New Roman"/>
          <w:b/>
          <w:sz w:val="24"/>
          <w:szCs w:val="24"/>
        </w:rPr>
        <w:t>I</w:t>
      </w:r>
      <w:r w:rsidRPr="00A03CEE">
        <w:rPr>
          <w:rFonts w:ascii="Times New Roman" w:hAnsi="Times New Roman"/>
          <w:b/>
          <w:sz w:val="24"/>
          <w:szCs w:val="24"/>
        </w:rPr>
        <w:t>– Les qualités de national et d’étranger</w:t>
      </w:r>
    </w:p>
    <w:p w14:paraId="5347B310" w14:textId="77777777" w:rsidR="00A55E49" w:rsidRPr="00A03CEE" w:rsidRDefault="00A55E49" w:rsidP="00A55E49">
      <w:pPr>
        <w:spacing w:line="360" w:lineRule="auto"/>
        <w:jc w:val="both"/>
        <w:rPr>
          <w:rFonts w:ascii="Times New Roman" w:hAnsi="Times New Roman"/>
          <w:sz w:val="24"/>
          <w:szCs w:val="24"/>
        </w:rPr>
      </w:pPr>
      <w:r>
        <w:rPr>
          <w:rFonts w:ascii="Times New Roman" w:hAnsi="Times New Roman"/>
          <w:sz w:val="24"/>
          <w:szCs w:val="24"/>
        </w:rPr>
        <w:t xml:space="preserve">     </w:t>
      </w:r>
      <w:r w:rsidRPr="00A03CEE">
        <w:rPr>
          <w:rFonts w:ascii="Times New Roman" w:hAnsi="Times New Roman"/>
          <w:sz w:val="24"/>
          <w:szCs w:val="24"/>
        </w:rPr>
        <w:t xml:space="preserve">La qualité de national d’un Etat s’acquiert par la nationalité, c’est-à-dire le lien juridique qui relie une personne physique ou morale à un Etat. Retenons plus précisément la définition qu’en a </w:t>
      </w:r>
      <w:proofErr w:type="spellStart"/>
      <w:r w:rsidRPr="00A03CEE">
        <w:rPr>
          <w:rFonts w:ascii="Times New Roman" w:hAnsi="Times New Roman"/>
          <w:sz w:val="24"/>
          <w:szCs w:val="24"/>
        </w:rPr>
        <w:t>donnée</w:t>
      </w:r>
      <w:proofErr w:type="spellEnd"/>
      <w:r w:rsidRPr="00A03CEE">
        <w:rPr>
          <w:rFonts w:ascii="Times New Roman" w:hAnsi="Times New Roman"/>
          <w:sz w:val="24"/>
          <w:szCs w:val="24"/>
        </w:rPr>
        <w:t xml:space="preserve"> la CIJ dans l’affaire Nottebohm du 6 avril 1955 : « La nationalité est un lien juridique ayant à sa base un fait social de rattachement, une solidarité effective d’existence, d’intérêts, de sentiments joints à une réciprocité de droits et de devoirs ». </w:t>
      </w:r>
    </w:p>
    <w:p w14:paraId="00AD52DE" w14:textId="77777777" w:rsidR="00A55E49" w:rsidRPr="00A03CEE" w:rsidRDefault="00A55E49" w:rsidP="00A55E49">
      <w:pPr>
        <w:spacing w:line="360" w:lineRule="auto"/>
        <w:jc w:val="both"/>
        <w:rPr>
          <w:rFonts w:ascii="Times New Roman" w:hAnsi="Times New Roman"/>
          <w:sz w:val="24"/>
          <w:szCs w:val="24"/>
        </w:rPr>
      </w:pPr>
      <w:r>
        <w:rPr>
          <w:rFonts w:ascii="Times New Roman" w:hAnsi="Times New Roman"/>
          <w:sz w:val="24"/>
          <w:szCs w:val="24"/>
        </w:rPr>
        <w:t xml:space="preserve">    </w:t>
      </w:r>
      <w:r w:rsidRPr="00A03CEE">
        <w:rPr>
          <w:rFonts w:ascii="Times New Roman" w:hAnsi="Times New Roman"/>
          <w:sz w:val="24"/>
          <w:szCs w:val="24"/>
        </w:rPr>
        <w:t xml:space="preserve">Sont donc des étrangers, les personnes ayant la nationalité d’un autre Etat ou ne pouvant se prévaloir d’aucune nationalité (apatrides) qui résident sur le territoire d’un Etat. </w:t>
      </w:r>
    </w:p>
    <w:p w14:paraId="1450D143" w14:textId="77777777" w:rsidR="00A55E49" w:rsidRPr="00A03CEE" w:rsidRDefault="00A55E49" w:rsidP="00A55E49">
      <w:pPr>
        <w:spacing w:line="360" w:lineRule="auto"/>
        <w:jc w:val="both"/>
        <w:rPr>
          <w:rFonts w:ascii="Times New Roman" w:hAnsi="Times New Roman"/>
          <w:sz w:val="24"/>
          <w:szCs w:val="24"/>
        </w:rPr>
      </w:pPr>
      <w:r>
        <w:rPr>
          <w:rFonts w:ascii="Times New Roman" w:hAnsi="Times New Roman"/>
          <w:sz w:val="24"/>
          <w:szCs w:val="24"/>
        </w:rPr>
        <w:t xml:space="preserve">  </w:t>
      </w:r>
      <w:r w:rsidRPr="00A03CEE">
        <w:rPr>
          <w:rFonts w:ascii="Times New Roman" w:hAnsi="Times New Roman"/>
          <w:sz w:val="24"/>
          <w:szCs w:val="24"/>
        </w:rPr>
        <w:t xml:space="preserve">Chaque Etat dispose d’un pouvoir discrétionnaire d’attribution de sa nationalité. Les modes d’acquisition reconnue en matière de nationalité tiennent soit de la filiation (jus sanguinis) soit du lieu naissance ou de la durée du séjour sur le territoire (jus soli) soit du mariage. </w:t>
      </w:r>
    </w:p>
    <w:p w14:paraId="7B78BD2C" w14:textId="77777777" w:rsidR="00A55E49" w:rsidRPr="00A03CEE" w:rsidRDefault="00A55E49" w:rsidP="00A55E49">
      <w:pPr>
        <w:spacing w:line="360" w:lineRule="auto"/>
        <w:jc w:val="both"/>
        <w:rPr>
          <w:rFonts w:ascii="Times New Roman" w:hAnsi="Times New Roman"/>
          <w:sz w:val="24"/>
          <w:szCs w:val="24"/>
        </w:rPr>
      </w:pPr>
      <w:r w:rsidRPr="00A03CEE">
        <w:rPr>
          <w:rFonts w:ascii="Times New Roman" w:hAnsi="Times New Roman"/>
          <w:sz w:val="24"/>
          <w:szCs w:val="24"/>
        </w:rPr>
        <w:t xml:space="preserve">Il reste que l’Etat n’est nullement tenu de recevoir des étrangers sur son territoire sauf à le consentir. Il n’est pas non plus tenu de traiter de manière identique ses nationaux et les étrangers. Il arrive néanmoins que l’attribution de la nationalité par un Etat soulève des difficultés auxquelles le droit international peut permettre de répondre. Il s’agit notamment de celles liées à l’inexistence de la nationalité et à son opposabilité. </w:t>
      </w:r>
    </w:p>
    <w:p w14:paraId="61FE316A" w14:textId="77777777" w:rsidR="00A55E49" w:rsidRPr="00A03CEE" w:rsidRDefault="00A55E49" w:rsidP="00A55E49">
      <w:pPr>
        <w:spacing w:line="360" w:lineRule="auto"/>
        <w:jc w:val="both"/>
        <w:rPr>
          <w:rFonts w:ascii="Times New Roman" w:hAnsi="Times New Roman"/>
          <w:sz w:val="24"/>
          <w:szCs w:val="24"/>
        </w:rPr>
      </w:pPr>
      <w:r>
        <w:rPr>
          <w:rFonts w:ascii="Times New Roman" w:hAnsi="Times New Roman"/>
          <w:sz w:val="24"/>
          <w:szCs w:val="24"/>
        </w:rPr>
        <w:t xml:space="preserve">    </w:t>
      </w:r>
      <w:r w:rsidRPr="00A03CEE">
        <w:rPr>
          <w:rFonts w:ascii="Times New Roman" w:hAnsi="Times New Roman"/>
          <w:sz w:val="24"/>
          <w:szCs w:val="24"/>
        </w:rPr>
        <w:t>Si la nationalité est un droit, il est des personnes qui n’en disposent d’aucune, se trouvant en situation d’apatridie. La conséquence directe d’une telle situation est de ne pouvoir bénéficier de la protection diplomatique qui a pour fondement le lien d’allégeance à un Etat ou la nationalité</w:t>
      </w:r>
      <w:r w:rsidRPr="00A03CEE">
        <w:rPr>
          <w:rStyle w:val="Appelnotedebasdep"/>
          <w:rFonts w:ascii="Times New Roman" w:hAnsi="Times New Roman"/>
          <w:sz w:val="24"/>
          <w:szCs w:val="24"/>
        </w:rPr>
        <w:footnoteReference w:id="3"/>
      </w:r>
      <w:r w:rsidRPr="00A03CEE">
        <w:rPr>
          <w:rFonts w:ascii="Times New Roman" w:hAnsi="Times New Roman"/>
          <w:sz w:val="24"/>
          <w:szCs w:val="24"/>
        </w:rPr>
        <w:t>.</w:t>
      </w:r>
    </w:p>
    <w:p w14:paraId="6FBA8B71" w14:textId="77777777" w:rsidR="00A55E49" w:rsidRPr="00A03CEE" w:rsidRDefault="00A55E49" w:rsidP="00A55E49">
      <w:pPr>
        <w:spacing w:line="360" w:lineRule="auto"/>
        <w:jc w:val="both"/>
        <w:rPr>
          <w:rFonts w:ascii="Times New Roman" w:hAnsi="Times New Roman"/>
          <w:sz w:val="24"/>
          <w:szCs w:val="24"/>
        </w:rPr>
      </w:pPr>
      <w:r>
        <w:rPr>
          <w:rFonts w:ascii="Times New Roman" w:hAnsi="Times New Roman"/>
          <w:sz w:val="24"/>
          <w:szCs w:val="24"/>
        </w:rPr>
        <w:lastRenderedPageBreak/>
        <w:t xml:space="preserve">   </w:t>
      </w:r>
      <w:r w:rsidRPr="00A03CEE">
        <w:rPr>
          <w:rFonts w:ascii="Times New Roman" w:hAnsi="Times New Roman"/>
          <w:sz w:val="24"/>
          <w:szCs w:val="24"/>
        </w:rPr>
        <w:t>Quant au problème de son opposabilité, la définition ci-dessus rappelée de la nationalité dans l’affaire Nottebohm est éclairante. La Cour a retenu que la nationalité attribuée par le Liechtenstein à Nottebohm était inopposable pour défaut d’effectivité.</w:t>
      </w:r>
    </w:p>
    <w:p w14:paraId="62846962" w14:textId="77777777" w:rsidR="00A55E49" w:rsidRPr="00A03CEE" w:rsidRDefault="00A55E49" w:rsidP="00A55E49">
      <w:pPr>
        <w:spacing w:line="360" w:lineRule="auto"/>
        <w:jc w:val="both"/>
        <w:rPr>
          <w:rFonts w:ascii="Times New Roman" w:hAnsi="Times New Roman"/>
          <w:b/>
          <w:sz w:val="24"/>
          <w:szCs w:val="24"/>
        </w:rPr>
      </w:pPr>
      <w:r>
        <w:rPr>
          <w:rFonts w:ascii="Times New Roman" w:hAnsi="Times New Roman"/>
          <w:b/>
          <w:sz w:val="24"/>
          <w:szCs w:val="24"/>
        </w:rPr>
        <w:t>II</w:t>
      </w:r>
      <w:r w:rsidRPr="00A03CEE">
        <w:rPr>
          <w:rFonts w:ascii="Times New Roman" w:hAnsi="Times New Roman"/>
          <w:b/>
          <w:sz w:val="24"/>
          <w:szCs w:val="24"/>
        </w:rPr>
        <w:t xml:space="preserve"> – La condition juridique des étrangers en droit international</w:t>
      </w:r>
    </w:p>
    <w:p w14:paraId="0CCBADD8" w14:textId="77777777" w:rsidR="00A55E49" w:rsidRPr="00A03CEE" w:rsidRDefault="00A55E49" w:rsidP="00A55E49">
      <w:pPr>
        <w:spacing w:line="360" w:lineRule="auto"/>
        <w:jc w:val="both"/>
        <w:rPr>
          <w:rFonts w:ascii="Times New Roman" w:hAnsi="Times New Roman"/>
          <w:sz w:val="24"/>
          <w:szCs w:val="24"/>
        </w:rPr>
      </w:pPr>
      <w:r>
        <w:rPr>
          <w:rFonts w:ascii="Times New Roman" w:hAnsi="Times New Roman"/>
          <w:sz w:val="24"/>
          <w:szCs w:val="24"/>
        </w:rPr>
        <w:t xml:space="preserve">    </w:t>
      </w:r>
      <w:r w:rsidRPr="00A03CEE">
        <w:rPr>
          <w:rFonts w:ascii="Times New Roman" w:hAnsi="Times New Roman"/>
          <w:sz w:val="24"/>
          <w:szCs w:val="24"/>
        </w:rPr>
        <w:t>L’étranger a-t-il, en vertu du droit international, droit à un traitement international minimum à la charge de l’Etat d’accueil ?  Cette notion met en rapport les compétences souveraines de l’Etat d’accueil et les droits des étrangers. Malgré le développement notable que connait la notion de traitement minimum des étrangers ces dernières années, elle soulève des difficultés tenant à sa perception et à sa compréhension. Et surtout, le droit international n’oblige pas les Etats d’accueil à accorder un traitement minimum garanti aux étrangers. Seules les lois nationales peuvent ou non le leur accorder.</w:t>
      </w:r>
    </w:p>
    <w:p w14:paraId="7CD8F7C1" w14:textId="77777777" w:rsidR="00A55E49" w:rsidRPr="00A03CEE" w:rsidRDefault="00A55E49" w:rsidP="00A55E49">
      <w:pPr>
        <w:spacing w:line="360" w:lineRule="auto"/>
        <w:jc w:val="both"/>
        <w:rPr>
          <w:rFonts w:ascii="Times New Roman" w:hAnsi="Times New Roman"/>
          <w:sz w:val="24"/>
          <w:szCs w:val="24"/>
        </w:rPr>
      </w:pPr>
      <w:r>
        <w:rPr>
          <w:rFonts w:ascii="Times New Roman" w:hAnsi="Times New Roman"/>
          <w:sz w:val="24"/>
          <w:szCs w:val="24"/>
        </w:rPr>
        <w:t xml:space="preserve">   </w:t>
      </w:r>
      <w:r w:rsidRPr="00A03CEE">
        <w:rPr>
          <w:rFonts w:ascii="Times New Roman" w:hAnsi="Times New Roman"/>
          <w:sz w:val="24"/>
          <w:szCs w:val="24"/>
        </w:rPr>
        <w:t xml:space="preserve">Il est ainsi de savoir si le droit international consacre un principe de traitement international minimum des étrangers que les Etats sont obligés de respecter ou si la solution est laissée à la discrétion des Etats.      </w:t>
      </w:r>
    </w:p>
    <w:p w14:paraId="2AA5A179" w14:textId="77777777" w:rsidR="00A55E49" w:rsidRPr="00A03CEE" w:rsidRDefault="00A55E49" w:rsidP="00A55E49">
      <w:pPr>
        <w:spacing w:line="360" w:lineRule="auto"/>
        <w:jc w:val="both"/>
        <w:rPr>
          <w:rFonts w:ascii="Times New Roman" w:hAnsi="Times New Roman"/>
          <w:b/>
          <w:sz w:val="24"/>
          <w:szCs w:val="24"/>
        </w:rPr>
      </w:pPr>
      <w:r>
        <w:rPr>
          <w:rFonts w:ascii="Times New Roman" w:hAnsi="Times New Roman"/>
          <w:b/>
          <w:sz w:val="24"/>
          <w:szCs w:val="24"/>
        </w:rPr>
        <w:t>A</w:t>
      </w:r>
      <w:r w:rsidRPr="00A03CEE">
        <w:rPr>
          <w:rFonts w:ascii="Times New Roman" w:hAnsi="Times New Roman"/>
          <w:b/>
          <w:sz w:val="24"/>
          <w:szCs w:val="24"/>
        </w:rPr>
        <w:t xml:space="preserve"> – Le contenu de la notion de traitement international minimum</w:t>
      </w:r>
    </w:p>
    <w:p w14:paraId="2F306A43" w14:textId="77777777" w:rsidR="00A55E49" w:rsidRPr="00A03CEE" w:rsidRDefault="00A55E49" w:rsidP="00A55E49">
      <w:pPr>
        <w:spacing w:line="360" w:lineRule="auto"/>
        <w:jc w:val="both"/>
        <w:rPr>
          <w:rFonts w:ascii="Times New Roman" w:hAnsi="Times New Roman"/>
          <w:sz w:val="24"/>
          <w:szCs w:val="24"/>
        </w:rPr>
      </w:pPr>
      <w:r>
        <w:rPr>
          <w:rFonts w:ascii="Times New Roman" w:hAnsi="Times New Roman"/>
          <w:sz w:val="24"/>
          <w:szCs w:val="24"/>
        </w:rPr>
        <w:t xml:space="preserve">    </w:t>
      </w:r>
      <w:r w:rsidRPr="00A03CEE">
        <w:rPr>
          <w:rFonts w:ascii="Times New Roman" w:hAnsi="Times New Roman"/>
          <w:sz w:val="24"/>
          <w:szCs w:val="24"/>
        </w:rPr>
        <w:t>La question qui se pose est précisément celle de savoir si le droit international général reconnait un standard de vie au profit des étrangers. Des décisions jurisprudentielles</w:t>
      </w:r>
      <w:r w:rsidRPr="00A03CEE">
        <w:rPr>
          <w:rStyle w:val="Appelnotedebasdep"/>
          <w:rFonts w:ascii="Times New Roman" w:hAnsi="Times New Roman"/>
          <w:sz w:val="24"/>
          <w:szCs w:val="24"/>
        </w:rPr>
        <w:footnoteReference w:id="4"/>
      </w:r>
      <w:r w:rsidRPr="00A03CEE">
        <w:rPr>
          <w:rFonts w:ascii="Times New Roman" w:hAnsi="Times New Roman"/>
          <w:sz w:val="24"/>
          <w:szCs w:val="24"/>
        </w:rPr>
        <w:t xml:space="preserve"> et des conventions en la matière existent mais n’offrent pas de solutions précises à ce problème. Aussi nous orientons-nous vers d’autres notions pour espérer en dégager des solutions convaincantes. Il s’agit :</w:t>
      </w:r>
    </w:p>
    <w:p w14:paraId="6F6954DE" w14:textId="77777777" w:rsidR="00A55E49" w:rsidRPr="00A03CEE" w:rsidRDefault="00A55E49" w:rsidP="00A55E49">
      <w:pPr>
        <w:numPr>
          <w:ilvl w:val="0"/>
          <w:numId w:val="2"/>
        </w:numPr>
        <w:spacing w:line="360" w:lineRule="auto"/>
        <w:jc w:val="both"/>
        <w:rPr>
          <w:rFonts w:ascii="Times New Roman" w:hAnsi="Times New Roman"/>
          <w:b/>
          <w:i/>
          <w:sz w:val="24"/>
          <w:szCs w:val="24"/>
        </w:rPr>
      </w:pPr>
      <w:r w:rsidRPr="00A03CEE">
        <w:rPr>
          <w:rFonts w:ascii="Times New Roman" w:hAnsi="Times New Roman"/>
          <w:b/>
          <w:i/>
          <w:sz w:val="24"/>
          <w:szCs w:val="24"/>
        </w:rPr>
        <w:t>Le droit d’accès au territoire de l’Etat de résidence</w:t>
      </w:r>
    </w:p>
    <w:p w14:paraId="36E9C242" w14:textId="77777777" w:rsidR="00A55E49" w:rsidRPr="00A03CEE" w:rsidRDefault="00A55E49" w:rsidP="00A55E49">
      <w:pPr>
        <w:spacing w:line="360" w:lineRule="auto"/>
        <w:jc w:val="both"/>
        <w:rPr>
          <w:rFonts w:ascii="Times New Roman" w:hAnsi="Times New Roman"/>
          <w:sz w:val="24"/>
          <w:szCs w:val="24"/>
        </w:rPr>
      </w:pPr>
      <w:r w:rsidRPr="00A03CEE">
        <w:rPr>
          <w:rFonts w:ascii="Times New Roman" w:hAnsi="Times New Roman"/>
          <w:sz w:val="24"/>
          <w:szCs w:val="24"/>
        </w:rPr>
        <w:t>C’est une question au sujet de laquelle l’Etat d’accueil dispose d’une compétence souveraine et discrétionnaire</w:t>
      </w:r>
      <w:r w:rsidRPr="00A03CEE">
        <w:rPr>
          <w:rStyle w:val="Appelnotedebasdep"/>
          <w:rFonts w:ascii="Times New Roman" w:hAnsi="Times New Roman"/>
          <w:sz w:val="24"/>
          <w:szCs w:val="24"/>
        </w:rPr>
        <w:footnoteReference w:id="5"/>
      </w:r>
      <w:r w:rsidRPr="00A03CEE">
        <w:rPr>
          <w:rFonts w:ascii="Times New Roman" w:hAnsi="Times New Roman"/>
          <w:sz w:val="24"/>
          <w:szCs w:val="24"/>
        </w:rPr>
        <w:t xml:space="preserve">. L’étranger n’a, par conséquent, aucun droit à l’admission sur le territoire d’un Etat en l’absence du consentement d’être lié exprimé par celui-ci en vertu d’un traité, d’une coutume ou d’un acte unilatéral. </w:t>
      </w:r>
    </w:p>
    <w:p w14:paraId="40CE3053" w14:textId="77777777" w:rsidR="00A55E49" w:rsidRPr="00A03CEE" w:rsidRDefault="00A55E49" w:rsidP="00A55E49">
      <w:pPr>
        <w:spacing w:line="360" w:lineRule="auto"/>
        <w:jc w:val="both"/>
        <w:rPr>
          <w:rFonts w:ascii="Times New Roman" w:hAnsi="Times New Roman"/>
          <w:sz w:val="24"/>
          <w:szCs w:val="24"/>
        </w:rPr>
      </w:pPr>
      <w:r w:rsidRPr="00A03CEE">
        <w:rPr>
          <w:rFonts w:ascii="Times New Roman" w:hAnsi="Times New Roman"/>
          <w:sz w:val="24"/>
          <w:szCs w:val="24"/>
        </w:rPr>
        <w:lastRenderedPageBreak/>
        <w:t>C’est également le cas des apatrides malgré les textes garantissant leur statut</w:t>
      </w:r>
      <w:r w:rsidRPr="00A03CEE">
        <w:rPr>
          <w:rStyle w:val="Appelnotedebasdep"/>
          <w:rFonts w:ascii="Times New Roman" w:hAnsi="Times New Roman"/>
          <w:sz w:val="24"/>
          <w:szCs w:val="24"/>
        </w:rPr>
        <w:footnoteReference w:id="6"/>
      </w:r>
      <w:r w:rsidRPr="00A03CEE">
        <w:rPr>
          <w:rFonts w:ascii="Times New Roman" w:hAnsi="Times New Roman"/>
          <w:sz w:val="24"/>
          <w:szCs w:val="24"/>
        </w:rPr>
        <w:t xml:space="preserve">. Il en est de même pour les </w:t>
      </w:r>
      <w:proofErr w:type="spellStart"/>
      <w:r w:rsidRPr="00A03CEE">
        <w:rPr>
          <w:rFonts w:ascii="Times New Roman" w:hAnsi="Times New Roman"/>
          <w:sz w:val="24"/>
          <w:szCs w:val="24"/>
        </w:rPr>
        <w:t>refugiés</w:t>
      </w:r>
      <w:proofErr w:type="spellEnd"/>
      <w:r w:rsidRPr="00A03CEE">
        <w:rPr>
          <w:rStyle w:val="Appelnotedebasdep"/>
          <w:rFonts w:ascii="Times New Roman" w:hAnsi="Times New Roman"/>
          <w:sz w:val="24"/>
          <w:szCs w:val="24"/>
        </w:rPr>
        <w:footnoteReference w:id="7"/>
      </w:r>
      <w:r w:rsidRPr="00A03CEE">
        <w:rPr>
          <w:rFonts w:ascii="Times New Roman" w:hAnsi="Times New Roman"/>
          <w:sz w:val="24"/>
          <w:szCs w:val="24"/>
        </w:rPr>
        <w:t xml:space="preserve"> qui possèdent la nationalité d’un Etat qui pour des raisons diverses notamment politiques ne peut les protéger. </w:t>
      </w:r>
    </w:p>
    <w:p w14:paraId="4120AB88" w14:textId="77777777" w:rsidR="00A55E49" w:rsidRPr="00A03CEE" w:rsidRDefault="00A55E49" w:rsidP="00A55E49">
      <w:pPr>
        <w:spacing w:line="360" w:lineRule="auto"/>
        <w:jc w:val="both"/>
        <w:rPr>
          <w:rFonts w:ascii="Times New Roman" w:hAnsi="Times New Roman"/>
          <w:sz w:val="24"/>
          <w:szCs w:val="24"/>
        </w:rPr>
      </w:pPr>
      <w:r w:rsidRPr="00A03CEE">
        <w:rPr>
          <w:rFonts w:ascii="Times New Roman" w:hAnsi="Times New Roman"/>
          <w:sz w:val="24"/>
          <w:szCs w:val="24"/>
        </w:rPr>
        <w:t xml:space="preserve">Il suit de là que le droit international renvoie à l’Etat d’accueil la réglementation de l’accès des étrangers à son territoire. Il en découle un droit conditionné et précaire face à la compétence souveraine et discrétionnaire de l’Etat d’accueil. Aussi dans l’affaire Chac-Chang-Ping contre Etats-Unis d’Amérique de 1889, la Cour suprême américaine a jugé que le pouvoir d’exclure les étrangers, notamment les </w:t>
      </w:r>
      <w:proofErr w:type="gramStart"/>
      <w:r w:rsidRPr="00A03CEE">
        <w:rPr>
          <w:rFonts w:ascii="Times New Roman" w:hAnsi="Times New Roman"/>
          <w:sz w:val="24"/>
          <w:szCs w:val="24"/>
        </w:rPr>
        <w:t>chinois</w:t>
      </w:r>
      <w:proofErr w:type="gramEnd"/>
      <w:r w:rsidRPr="00A03CEE">
        <w:rPr>
          <w:rFonts w:ascii="Times New Roman" w:hAnsi="Times New Roman"/>
          <w:sz w:val="24"/>
          <w:szCs w:val="24"/>
        </w:rPr>
        <w:t xml:space="preserve">, est pour le gouvernement des Etats-Unis d’Amérique est un droit souverain. La Cour suprême argentine a reconnu, dans un arrêt du 23 mars 1956 (Re Sosa), le pouvoir du gouvernement de réglementer et de contrôler l’admission des étrangers conformément aux règles constitutionnelles. </w:t>
      </w:r>
    </w:p>
    <w:p w14:paraId="1D614FE8" w14:textId="77777777" w:rsidR="00A55E49" w:rsidRPr="00A03CEE" w:rsidRDefault="00A55E49" w:rsidP="00A55E49">
      <w:pPr>
        <w:spacing w:line="360" w:lineRule="auto"/>
        <w:jc w:val="both"/>
        <w:rPr>
          <w:rFonts w:ascii="Times New Roman" w:hAnsi="Times New Roman"/>
          <w:sz w:val="24"/>
          <w:szCs w:val="24"/>
        </w:rPr>
      </w:pPr>
      <w:r w:rsidRPr="00A03CEE">
        <w:rPr>
          <w:rFonts w:ascii="Times New Roman" w:hAnsi="Times New Roman"/>
          <w:sz w:val="24"/>
          <w:szCs w:val="24"/>
        </w:rPr>
        <w:t xml:space="preserve">Le constat est éloquent que de nos jours, pour des raisons diverses tenant aux Etats d’accueil les contrôles sont accrus et pointus pour devenir enfin de </w:t>
      </w:r>
      <w:proofErr w:type="gramStart"/>
      <w:r w:rsidRPr="00A03CEE">
        <w:rPr>
          <w:rFonts w:ascii="Times New Roman" w:hAnsi="Times New Roman"/>
          <w:sz w:val="24"/>
          <w:szCs w:val="24"/>
        </w:rPr>
        <w:t>compte quasi prohibitifs</w:t>
      </w:r>
      <w:proofErr w:type="gramEnd"/>
      <w:r w:rsidRPr="00A03CEE">
        <w:rPr>
          <w:rFonts w:ascii="Times New Roman" w:hAnsi="Times New Roman"/>
          <w:sz w:val="24"/>
          <w:szCs w:val="24"/>
        </w:rPr>
        <w:t xml:space="preserve"> quant à l’accès des étrangers à leurs territoires. En témoignent les conditions et procédures en la matière en vigueur dans la plupart des Etats industrialisés (passeport biométrique, visas, test du sida, certificat sanitaire et d’hébergement, caution de rapatriement, ressources financières suffisantes pour y vivre etc.). Il est à l’inverse frappant que les conditions exigées aux étrangers accédant aux territoires des Etats du Tiers-Monde soient à quelques exceptions près plus que souples au point de se demander s’il y en a. </w:t>
      </w:r>
    </w:p>
    <w:p w14:paraId="39434668" w14:textId="77777777" w:rsidR="00A55E49" w:rsidRPr="00A03CEE" w:rsidRDefault="00A55E49" w:rsidP="00A55E49">
      <w:pPr>
        <w:spacing w:line="360" w:lineRule="auto"/>
        <w:jc w:val="both"/>
        <w:rPr>
          <w:rFonts w:ascii="Times New Roman" w:hAnsi="Times New Roman"/>
          <w:sz w:val="24"/>
          <w:szCs w:val="24"/>
        </w:rPr>
      </w:pPr>
      <w:r w:rsidRPr="00A03CEE">
        <w:rPr>
          <w:rFonts w:ascii="Times New Roman" w:hAnsi="Times New Roman"/>
          <w:sz w:val="24"/>
          <w:szCs w:val="24"/>
        </w:rPr>
        <w:t>Il reste que l’accès aux Etats n’en est pas pour autant hermétiquement fermé. Les étrangers qui y accèdent bénéficient d’un statut de résident.</w:t>
      </w:r>
    </w:p>
    <w:p w14:paraId="64F0D66D" w14:textId="77777777" w:rsidR="00A55E49" w:rsidRPr="00A03CEE" w:rsidRDefault="00A55E49" w:rsidP="00A55E49">
      <w:pPr>
        <w:numPr>
          <w:ilvl w:val="0"/>
          <w:numId w:val="2"/>
        </w:numPr>
        <w:spacing w:line="360" w:lineRule="auto"/>
        <w:jc w:val="both"/>
        <w:rPr>
          <w:rFonts w:ascii="Times New Roman" w:hAnsi="Times New Roman"/>
          <w:b/>
          <w:i/>
          <w:sz w:val="24"/>
          <w:szCs w:val="24"/>
        </w:rPr>
      </w:pPr>
      <w:r w:rsidRPr="00A03CEE">
        <w:rPr>
          <w:rFonts w:ascii="Times New Roman" w:hAnsi="Times New Roman"/>
          <w:b/>
          <w:i/>
          <w:sz w:val="24"/>
          <w:szCs w:val="24"/>
        </w:rPr>
        <w:t>Le statut de résident</w:t>
      </w:r>
    </w:p>
    <w:p w14:paraId="065EFADA" w14:textId="77777777" w:rsidR="00A55E49" w:rsidRPr="00A03CEE" w:rsidRDefault="00A55E49" w:rsidP="00A55E49">
      <w:pPr>
        <w:spacing w:line="360" w:lineRule="auto"/>
        <w:jc w:val="both"/>
        <w:rPr>
          <w:rFonts w:ascii="Times New Roman" w:hAnsi="Times New Roman"/>
          <w:sz w:val="24"/>
          <w:szCs w:val="24"/>
        </w:rPr>
      </w:pPr>
      <w:r w:rsidRPr="00A03CEE">
        <w:rPr>
          <w:rFonts w:ascii="Times New Roman" w:hAnsi="Times New Roman"/>
          <w:sz w:val="24"/>
          <w:szCs w:val="24"/>
        </w:rPr>
        <w:t>Le droit international retient le principe de l’assimilation de l’étranger au national, c’est-à-dire de l’égalité de traitement entre le national et l’étranger. C’est au surplus ce qu’ont reconnu des décisions jurisprudentielles</w:t>
      </w:r>
      <w:r w:rsidRPr="00A03CEE">
        <w:rPr>
          <w:rStyle w:val="Appelnotedebasdep"/>
          <w:rFonts w:ascii="Times New Roman" w:hAnsi="Times New Roman"/>
          <w:sz w:val="24"/>
          <w:szCs w:val="24"/>
        </w:rPr>
        <w:footnoteReference w:id="8"/>
      </w:r>
      <w:r w:rsidRPr="00A03CEE">
        <w:rPr>
          <w:rFonts w:ascii="Times New Roman" w:hAnsi="Times New Roman"/>
          <w:sz w:val="24"/>
          <w:szCs w:val="24"/>
        </w:rPr>
        <w:t xml:space="preserve">. Dans la pratique, le droit interne de l’Etat d’accueil reste </w:t>
      </w:r>
      <w:r w:rsidRPr="00A03CEE">
        <w:rPr>
          <w:rFonts w:ascii="Times New Roman" w:hAnsi="Times New Roman"/>
          <w:sz w:val="24"/>
          <w:szCs w:val="24"/>
        </w:rPr>
        <w:lastRenderedPageBreak/>
        <w:t xml:space="preserve">prépondérant. Il soumet les nationaux et les étrangers à des droits et à des devoirs au regard desquels une certaine inégalité se dégage. </w:t>
      </w:r>
    </w:p>
    <w:p w14:paraId="04CA3C37" w14:textId="77777777" w:rsidR="00A55E49" w:rsidRPr="00A03CEE" w:rsidRDefault="00A55E49" w:rsidP="00A55E49">
      <w:pPr>
        <w:spacing w:line="360" w:lineRule="auto"/>
        <w:jc w:val="both"/>
        <w:rPr>
          <w:rFonts w:ascii="Times New Roman" w:hAnsi="Times New Roman"/>
          <w:sz w:val="24"/>
          <w:szCs w:val="24"/>
        </w:rPr>
      </w:pPr>
      <w:r w:rsidRPr="00A03CEE">
        <w:rPr>
          <w:rFonts w:ascii="Times New Roman" w:hAnsi="Times New Roman"/>
          <w:sz w:val="24"/>
          <w:szCs w:val="24"/>
        </w:rPr>
        <w:t>Au titre de leurs droits, les textes internes affirment l’égalité de tous devant la loi</w:t>
      </w:r>
      <w:r w:rsidRPr="00A03CEE">
        <w:rPr>
          <w:rStyle w:val="Appelnotedebasdep"/>
          <w:rFonts w:ascii="Times New Roman" w:hAnsi="Times New Roman"/>
          <w:sz w:val="24"/>
          <w:szCs w:val="24"/>
        </w:rPr>
        <w:footnoteReference w:id="9"/>
      </w:r>
      <w:r w:rsidRPr="00A03CEE">
        <w:rPr>
          <w:rFonts w:ascii="Times New Roman" w:hAnsi="Times New Roman"/>
          <w:sz w:val="24"/>
          <w:szCs w:val="24"/>
        </w:rPr>
        <w:t>. Il en est ainsi des droits civils et économiques, comme la propriété privée</w:t>
      </w:r>
      <w:r w:rsidRPr="00A03CEE">
        <w:rPr>
          <w:rStyle w:val="Appelnotedebasdep"/>
          <w:rFonts w:ascii="Times New Roman" w:hAnsi="Times New Roman"/>
          <w:sz w:val="24"/>
          <w:szCs w:val="24"/>
        </w:rPr>
        <w:footnoteReference w:id="10"/>
      </w:r>
      <w:r w:rsidRPr="00A03CEE">
        <w:rPr>
          <w:rFonts w:ascii="Times New Roman" w:hAnsi="Times New Roman"/>
          <w:sz w:val="24"/>
          <w:szCs w:val="24"/>
        </w:rPr>
        <w:t>. C’est encore le cas en matière d’expropriation et de réquisition</w:t>
      </w:r>
      <w:r w:rsidRPr="00A03CEE">
        <w:rPr>
          <w:rStyle w:val="Appelnotedebasdep"/>
          <w:rFonts w:ascii="Times New Roman" w:hAnsi="Times New Roman"/>
          <w:sz w:val="24"/>
          <w:szCs w:val="24"/>
        </w:rPr>
        <w:footnoteReference w:id="11"/>
      </w:r>
      <w:r w:rsidRPr="00A03CEE">
        <w:rPr>
          <w:rFonts w:ascii="Times New Roman" w:hAnsi="Times New Roman"/>
          <w:sz w:val="24"/>
          <w:szCs w:val="24"/>
        </w:rPr>
        <w:t xml:space="preserve"> ou encore pour les investissements privés et biens des étrangers</w:t>
      </w:r>
      <w:r w:rsidRPr="00A03CEE">
        <w:rPr>
          <w:rStyle w:val="Appelnotedebasdep"/>
          <w:rFonts w:ascii="Times New Roman" w:hAnsi="Times New Roman"/>
          <w:sz w:val="24"/>
          <w:szCs w:val="24"/>
        </w:rPr>
        <w:footnoteReference w:id="12"/>
      </w:r>
      <w:r w:rsidRPr="00A03CEE">
        <w:rPr>
          <w:rFonts w:ascii="Times New Roman" w:hAnsi="Times New Roman"/>
          <w:sz w:val="24"/>
          <w:szCs w:val="24"/>
        </w:rPr>
        <w:t xml:space="preserve">. L’égalité semble également être de mise pour l’accès aux emplois. Sur ce point, la sévérité des crises et conjonctures économiques avec l’accroissement souvent vertigineux du taux du chômage ont créé des crispations et conduit à des mesures de protection du marché de l’emploi dans les Etats d’accueil, notamment les Etats industrialisés. En droit de la famille, si l’égalité est présumée, il est tout de même des restrictions en matière de tutelle confiée à des étrangers ou l’adoption d’un enfant par un étranger. En ce qui concerne les libertés individuelles (liberté de conscience, de croyance, d’aller et de venir), les Etats d’accueil accordent aux étrangers leur jouissance et leur exercice. </w:t>
      </w:r>
    </w:p>
    <w:p w14:paraId="5D74B43D" w14:textId="77777777" w:rsidR="00A55E49" w:rsidRPr="00A03CEE" w:rsidRDefault="00A55E49" w:rsidP="00A55E49">
      <w:pPr>
        <w:spacing w:line="360" w:lineRule="auto"/>
        <w:jc w:val="both"/>
        <w:rPr>
          <w:rFonts w:ascii="Times New Roman" w:hAnsi="Times New Roman"/>
          <w:sz w:val="24"/>
          <w:szCs w:val="24"/>
        </w:rPr>
      </w:pPr>
      <w:r w:rsidRPr="00A03CEE">
        <w:rPr>
          <w:rFonts w:ascii="Times New Roman" w:hAnsi="Times New Roman"/>
          <w:sz w:val="24"/>
          <w:szCs w:val="24"/>
        </w:rPr>
        <w:t>Quant à leurs devoirs, l’étranger et le national sont soumis aux mêmes charges. L’étranger se doit d’observer avec respect les lois de l’Etat d’accueil</w:t>
      </w:r>
      <w:r w:rsidRPr="00A03CEE">
        <w:rPr>
          <w:rStyle w:val="Appelnotedebasdep"/>
          <w:rFonts w:ascii="Times New Roman" w:hAnsi="Times New Roman"/>
          <w:sz w:val="24"/>
          <w:szCs w:val="24"/>
        </w:rPr>
        <w:footnoteReference w:id="13"/>
      </w:r>
      <w:r w:rsidRPr="00A03CEE">
        <w:rPr>
          <w:rFonts w:ascii="Times New Roman" w:hAnsi="Times New Roman"/>
          <w:sz w:val="24"/>
          <w:szCs w:val="24"/>
        </w:rPr>
        <w:t>. Il doit s’acquitter du paiement de ses impôts</w:t>
      </w:r>
      <w:r w:rsidRPr="00A03CEE">
        <w:rPr>
          <w:rStyle w:val="Appelnotedebasdep"/>
          <w:rFonts w:ascii="Times New Roman" w:hAnsi="Times New Roman"/>
          <w:sz w:val="24"/>
          <w:szCs w:val="24"/>
        </w:rPr>
        <w:footnoteReference w:id="14"/>
      </w:r>
      <w:r w:rsidRPr="00A03CEE">
        <w:rPr>
          <w:rFonts w:ascii="Times New Roman" w:hAnsi="Times New Roman"/>
          <w:sz w:val="24"/>
          <w:szCs w:val="24"/>
        </w:rPr>
        <w:t xml:space="preserve">. </w:t>
      </w:r>
    </w:p>
    <w:p w14:paraId="61337315" w14:textId="77777777" w:rsidR="00A55E49" w:rsidRPr="00A03CEE" w:rsidRDefault="00A55E49" w:rsidP="00A55E49">
      <w:pPr>
        <w:spacing w:line="360" w:lineRule="auto"/>
        <w:jc w:val="both"/>
        <w:rPr>
          <w:rFonts w:ascii="Times New Roman" w:hAnsi="Times New Roman"/>
          <w:sz w:val="24"/>
          <w:szCs w:val="24"/>
        </w:rPr>
      </w:pPr>
      <w:r w:rsidRPr="00A03CEE">
        <w:rPr>
          <w:rFonts w:ascii="Times New Roman" w:hAnsi="Times New Roman"/>
          <w:sz w:val="24"/>
          <w:szCs w:val="24"/>
        </w:rPr>
        <w:t xml:space="preserve">De ce qui précède, il y a lieu de reconnaitre qu’il n’y a pas en droit international de règle générale d’égalité de traitement entre nationaux et étrangers. Certes, tout étranger, en dehors de la volonté de l’Etat d’accueil à être lié, a droit à un traitement international type ou minimum. A l’égard de l’étranger, les obligations de l’Etat d’accueil se traduisent en des obligations de ne pas faire (traitement anormal) et des obligations de faire (protection spéciale). En réalité, l’Etat n’est soumis qu’à peu d’obligations substantielles. De ce point de vue, les privilèges et la protection dont bénéficient les agents diplomatiques relèvent du statut particulier dont ils </w:t>
      </w:r>
      <w:r w:rsidRPr="00A03CEE">
        <w:rPr>
          <w:rFonts w:ascii="Times New Roman" w:hAnsi="Times New Roman"/>
          <w:sz w:val="24"/>
          <w:szCs w:val="24"/>
        </w:rPr>
        <w:lastRenderedPageBreak/>
        <w:t>jouissent en tant que représentants de l’Etat accréditant</w:t>
      </w:r>
      <w:r w:rsidRPr="00A03CEE">
        <w:rPr>
          <w:rStyle w:val="Appelnotedebasdep"/>
          <w:rFonts w:ascii="Times New Roman" w:hAnsi="Times New Roman"/>
          <w:sz w:val="24"/>
          <w:szCs w:val="24"/>
        </w:rPr>
        <w:footnoteReference w:id="15"/>
      </w:r>
      <w:r w:rsidRPr="00A03CEE">
        <w:rPr>
          <w:rFonts w:ascii="Times New Roman" w:hAnsi="Times New Roman"/>
          <w:sz w:val="24"/>
          <w:szCs w:val="24"/>
        </w:rPr>
        <w:t xml:space="preserve">. Les relations diplomatiques sont un cadre éminent de rapports de réciprocité. </w:t>
      </w:r>
    </w:p>
    <w:p w14:paraId="0DD2CE30" w14:textId="77777777" w:rsidR="00A55E49" w:rsidRPr="00A03CEE" w:rsidRDefault="00A55E49" w:rsidP="00A55E49">
      <w:pPr>
        <w:spacing w:line="360" w:lineRule="auto"/>
        <w:jc w:val="both"/>
        <w:rPr>
          <w:rFonts w:ascii="Times New Roman" w:hAnsi="Times New Roman"/>
          <w:sz w:val="24"/>
          <w:szCs w:val="24"/>
        </w:rPr>
      </w:pPr>
      <w:r w:rsidRPr="00A03CEE">
        <w:rPr>
          <w:rFonts w:ascii="Times New Roman" w:hAnsi="Times New Roman"/>
          <w:sz w:val="24"/>
          <w:szCs w:val="24"/>
        </w:rPr>
        <w:t>Il est néanmoins de relever que certains auteurs, se fondant sur des traités particuliers conclus entre Etats, dont ils assimilent les effets à la notion de traitement minimum, réclament un statut privilégié pour les étrangers par rapport aux nationaux. Cette pratique est sous-tendue par le droit des traités et celui des investissements privés étrangers. Elle consiste pour les Etats, à travers des conventions, de reconnaitre réciproquement à leurs ressortissants des droits et des avantages. C’est le cas des conventions d’établissements</w:t>
      </w:r>
      <w:r w:rsidRPr="00A03CEE">
        <w:rPr>
          <w:rStyle w:val="Appelnotedebasdep"/>
          <w:rFonts w:ascii="Times New Roman" w:hAnsi="Times New Roman"/>
          <w:sz w:val="24"/>
          <w:szCs w:val="24"/>
        </w:rPr>
        <w:footnoteReference w:id="16"/>
      </w:r>
      <w:r w:rsidRPr="00A03CEE">
        <w:rPr>
          <w:rFonts w:ascii="Times New Roman" w:hAnsi="Times New Roman"/>
          <w:sz w:val="24"/>
          <w:szCs w:val="24"/>
        </w:rPr>
        <w:t>. Lorsqu’il s’agit de contrats d’investissement, ces conventions prennent la dénomination de traités de couverture</w:t>
      </w:r>
      <w:r w:rsidRPr="00A03CEE">
        <w:rPr>
          <w:rStyle w:val="Appelnotedebasdep"/>
          <w:rFonts w:ascii="Times New Roman" w:hAnsi="Times New Roman"/>
          <w:sz w:val="24"/>
          <w:szCs w:val="24"/>
        </w:rPr>
        <w:footnoteReference w:id="17"/>
      </w:r>
      <w:r w:rsidRPr="00A03CEE">
        <w:rPr>
          <w:rFonts w:ascii="Times New Roman" w:hAnsi="Times New Roman"/>
          <w:sz w:val="24"/>
          <w:szCs w:val="24"/>
        </w:rPr>
        <w:t>. Ils aboutissent non seulement à instaurer un régime d’assimilation de l’étranger au national</w:t>
      </w:r>
      <w:r w:rsidRPr="00A03CEE">
        <w:rPr>
          <w:rStyle w:val="Appelnotedebasdep"/>
          <w:rFonts w:ascii="Times New Roman" w:hAnsi="Times New Roman"/>
          <w:sz w:val="24"/>
          <w:szCs w:val="24"/>
        </w:rPr>
        <w:footnoteReference w:id="18"/>
      </w:r>
      <w:r w:rsidRPr="00A03CEE">
        <w:rPr>
          <w:rFonts w:ascii="Times New Roman" w:hAnsi="Times New Roman"/>
          <w:sz w:val="24"/>
          <w:szCs w:val="24"/>
        </w:rPr>
        <w:t xml:space="preserve"> mais surtout à octroyer un régime de faveur aux ressortissants étrangers des Etats industrialisés en vue d’attirer leurs investissements. Certains auteurs y voient l’existence d’un statut dérogatoire supérieur dans l’Etat de résidence. Aussi perçoivent-ils l’inobservation par l’Etat d’accueil d’un contrat conclu avec l’étranger comme un acte internationalement illicite qu’ils considèrent comme un différend de droit international public</w:t>
      </w:r>
      <w:r w:rsidRPr="00A03CEE">
        <w:rPr>
          <w:rStyle w:val="Appelnotedebasdep"/>
          <w:rFonts w:ascii="Times New Roman" w:hAnsi="Times New Roman"/>
          <w:sz w:val="24"/>
          <w:szCs w:val="24"/>
        </w:rPr>
        <w:footnoteReference w:id="19"/>
      </w:r>
      <w:r w:rsidRPr="00A03CEE">
        <w:rPr>
          <w:rFonts w:ascii="Times New Roman" w:hAnsi="Times New Roman"/>
          <w:sz w:val="24"/>
          <w:szCs w:val="24"/>
        </w:rPr>
        <w:t>. Cette position est critiquable pour deux raisons : d’une part, l’inobservation par un Etat d’un contrat d’établissement ne saurait être assimilée à une méconnaissance d’une obligation internationale d’autant qu’il n’a pour objet que le rapprochement de l’étranger du national. D’autre part, il y a lieu de douter de la validité des contrats d’établissement, comme le fait Wengler</w:t>
      </w:r>
      <w:r w:rsidRPr="00A03CEE">
        <w:rPr>
          <w:rStyle w:val="Appelnotedebasdep"/>
          <w:rFonts w:ascii="Times New Roman" w:hAnsi="Times New Roman"/>
          <w:sz w:val="24"/>
          <w:szCs w:val="24"/>
        </w:rPr>
        <w:footnoteReference w:id="20"/>
      </w:r>
      <w:r w:rsidRPr="00A03CEE">
        <w:rPr>
          <w:rFonts w:ascii="Times New Roman" w:hAnsi="Times New Roman"/>
          <w:sz w:val="24"/>
          <w:szCs w:val="24"/>
        </w:rPr>
        <w:t>, pour qui ces contrats en cela qu’ils ne sont profitables qu’aux ressortissants des Etats industrialisés sont contraires au jus cogens en vertu de la théorie des traités inégaux.</w:t>
      </w:r>
    </w:p>
    <w:p w14:paraId="6B3CCDF1" w14:textId="77777777" w:rsidR="00A55E49" w:rsidRPr="00A03CEE" w:rsidRDefault="00A55E49" w:rsidP="00A55E49">
      <w:pPr>
        <w:spacing w:line="360" w:lineRule="auto"/>
        <w:jc w:val="both"/>
        <w:rPr>
          <w:rFonts w:ascii="Times New Roman" w:hAnsi="Times New Roman"/>
          <w:sz w:val="24"/>
          <w:szCs w:val="24"/>
        </w:rPr>
      </w:pPr>
      <w:r w:rsidRPr="00A03CEE">
        <w:rPr>
          <w:rFonts w:ascii="Times New Roman" w:hAnsi="Times New Roman"/>
          <w:sz w:val="24"/>
          <w:szCs w:val="24"/>
        </w:rPr>
        <w:lastRenderedPageBreak/>
        <w:t>C’est dire que la notion de traitement minimum reste une tentative d’assimilation de l’étranger au national et en aucun cas un traitement inégalitaire ou privilégié. L’Etat dispose en la matière d’une compétence souveraine et discrétionnaire. Comment la notion de traitement minimum est-elle appliquée par les Etats ?</w:t>
      </w:r>
    </w:p>
    <w:p w14:paraId="16B593D5" w14:textId="77777777" w:rsidR="00A55E49" w:rsidRPr="00A03CEE" w:rsidRDefault="00A55E49" w:rsidP="00A55E49">
      <w:pPr>
        <w:spacing w:line="360" w:lineRule="auto"/>
        <w:jc w:val="both"/>
        <w:rPr>
          <w:rFonts w:ascii="Times New Roman" w:hAnsi="Times New Roman"/>
          <w:b/>
          <w:sz w:val="24"/>
          <w:szCs w:val="24"/>
        </w:rPr>
      </w:pPr>
      <w:r>
        <w:rPr>
          <w:rFonts w:ascii="Times New Roman" w:hAnsi="Times New Roman"/>
          <w:b/>
          <w:sz w:val="24"/>
          <w:szCs w:val="24"/>
        </w:rPr>
        <w:t>B</w:t>
      </w:r>
      <w:r w:rsidRPr="00A03CEE">
        <w:rPr>
          <w:rFonts w:ascii="Times New Roman" w:hAnsi="Times New Roman"/>
          <w:b/>
          <w:sz w:val="24"/>
          <w:szCs w:val="24"/>
        </w:rPr>
        <w:t>– L’application du traitement international minimum</w:t>
      </w:r>
    </w:p>
    <w:p w14:paraId="4EF520D4" w14:textId="77777777" w:rsidR="00A55E49" w:rsidRPr="00A03CEE" w:rsidRDefault="00A55E49" w:rsidP="00A55E49">
      <w:pPr>
        <w:spacing w:line="360" w:lineRule="auto"/>
        <w:jc w:val="both"/>
        <w:rPr>
          <w:rFonts w:ascii="Times New Roman" w:hAnsi="Times New Roman"/>
          <w:sz w:val="24"/>
          <w:szCs w:val="24"/>
        </w:rPr>
      </w:pPr>
      <w:r w:rsidRPr="00A03CEE">
        <w:rPr>
          <w:rFonts w:ascii="Times New Roman" w:hAnsi="Times New Roman"/>
          <w:sz w:val="24"/>
          <w:szCs w:val="24"/>
        </w:rPr>
        <w:t>Le constat est éloquent que nulle part, il n’existe pas de traitement égalitaire entre l’étranger et le national. Il y a plutôt une différence de traitement au profit du national. Mais certaines catégories d’étrangers bénéficient, par la volonté de l’Etat d’accueil, de traitements spéciaux de faveur : les agents diplomatiques et consulaires. A l’inverse, les autres étrangers font, dans certains cas, l’objet de traitement discriminatoire.</w:t>
      </w:r>
    </w:p>
    <w:p w14:paraId="2CF945AD" w14:textId="77777777" w:rsidR="00A55E49" w:rsidRPr="00A03CEE" w:rsidRDefault="00A55E49" w:rsidP="00A55E49">
      <w:pPr>
        <w:numPr>
          <w:ilvl w:val="0"/>
          <w:numId w:val="1"/>
        </w:numPr>
        <w:spacing w:line="360" w:lineRule="auto"/>
        <w:jc w:val="both"/>
        <w:rPr>
          <w:rFonts w:ascii="Times New Roman" w:hAnsi="Times New Roman"/>
          <w:sz w:val="24"/>
          <w:szCs w:val="24"/>
        </w:rPr>
      </w:pPr>
      <w:r w:rsidRPr="00A03CEE">
        <w:rPr>
          <w:rFonts w:ascii="Times New Roman" w:hAnsi="Times New Roman"/>
          <w:sz w:val="24"/>
          <w:szCs w:val="24"/>
        </w:rPr>
        <w:t>Le traitement spécial de faveur des agents diplomatiques et consulaires</w:t>
      </w:r>
    </w:p>
    <w:p w14:paraId="71F2BD76" w14:textId="77777777" w:rsidR="00A55E49" w:rsidRPr="00A03CEE" w:rsidRDefault="00A55E49" w:rsidP="00A55E49">
      <w:pPr>
        <w:spacing w:line="360" w:lineRule="auto"/>
        <w:jc w:val="both"/>
        <w:rPr>
          <w:rFonts w:ascii="Times New Roman" w:hAnsi="Times New Roman"/>
          <w:sz w:val="24"/>
          <w:szCs w:val="24"/>
        </w:rPr>
      </w:pPr>
      <w:r w:rsidRPr="00A03CEE">
        <w:rPr>
          <w:rFonts w:ascii="Times New Roman" w:hAnsi="Times New Roman"/>
          <w:sz w:val="24"/>
          <w:szCs w:val="24"/>
        </w:rPr>
        <w:t>Dans le cadre des relations diplomatiques, les (agents diplomatiques et consulaires) représentants de l’Etat accréditant auprès de l’Etat accréditaire, bénéficient de privilèges et d’immunités (garanties de protection de l’indépendance de l’agent et de la souveraineté qu’il représente) dont ne disposent pas au surplus les nationaux, encore moins les étrangers ordinaires. Les immunités tiennent en leur personne et les privilèges à leurs biens.</w:t>
      </w:r>
    </w:p>
    <w:p w14:paraId="085B39E1" w14:textId="77777777" w:rsidR="00A55E49" w:rsidRPr="00A03CEE" w:rsidRDefault="00A55E49" w:rsidP="00A55E49">
      <w:pPr>
        <w:spacing w:line="360" w:lineRule="auto"/>
        <w:jc w:val="both"/>
        <w:rPr>
          <w:rFonts w:ascii="Times New Roman" w:hAnsi="Times New Roman"/>
          <w:sz w:val="24"/>
          <w:szCs w:val="24"/>
        </w:rPr>
      </w:pPr>
      <w:r w:rsidRPr="00A03CEE">
        <w:rPr>
          <w:rFonts w:ascii="Times New Roman" w:hAnsi="Times New Roman"/>
          <w:sz w:val="24"/>
          <w:szCs w:val="24"/>
        </w:rPr>
        <w:t xml:space="preserve">En ce concerne les agents diplomatiques, au titre des immunités, le diplomate est couvert par une sécurité absolue (art. 29 </w:t>
      </w:r>
      <w:proofErr w:type="spellStart"/>
      <w:r w:rsidRPr="00A03CEE">
        <w:rPr>
          <w:rFonts w:ascii="Times New Roman" w:hAnsi="Times New Roman"/>
          <w:sz w:val="24"/>
          <w:szCs w:val="24"/>
        </w:rPr>
        <w:t>Conv</w:t>
      </w:r>
      <w:proofErr w:type="spellEnd"/>
      <w:r w:rsidRPr="00A03CEE">
        <w:rPr>
          <w:rFonts w:ascii="Times New Roman" w:hAnsi="Times New Roman"/>
          <w:sz w:val="24"/>
          <w:szCs w:val="24"/>
        </w:rPr>
        <w:t xml:space="preserve">. De Vienne du 18 avril 1961 sur les relations diplomatiques) sur le territoire de l’Etat accréditaire, de sorte qu’il ne peut être arrêté ou détenu. Ils bénéficient de l’inviolabilité tant de leur personne que de leurs biens (domicile, documents, correspondance etc.). Son statut lui confère une immunité juridictionnelle totale en matière pénale, autrement dit il ne saurait être jugé par les tribunaux de l’Etat accréditaire qu’il ait ou non agi dans l’exercice de ses fonctions. Civilement, l’immunité de juridiction est réduite d’autant qu’elle ne porte pas sur les actions en justice portant sur des immeubles privés leur appartenant.      </w:t>
      </w:r>
    </w:p>
    <w:p w14:paraId="2EC81055" w14:textId="77777777" w:rsidR="00A55E49" w:rsidRPr="00A03CEE" w:rsidRDefault="00A55E49" w:rsidP="00A55E49">
      <w:pPr>
        <w:spacing w:line="360" w:lineRule="auto"/>
        <w:jc w:val="both"/>
        <w:rPr>
          <w:rFonts w:ascii="Times New Roman" w:hAnsi="Times New Roman"/>
          <w:sz w:val="24"/>
          <w:szCs w:val="24"/>
        </w:rPr>
      </w:pPr>
      <w:r w:rsidRPr="00A03CEE">
        <w:rPr>
          <w:rFonts w:ascii="Times New Roman" w:hAnsi="Times New Roman"/>
          <w:sz w:val="24"/>
          <w:szCs w:val="24"/>
        </w:rPr>
        <w:t xml:space="preserve">Cette position est consacrée par la CIJ, dans l’affaire Personnel diplomatique et consulaire des Etats-Unis à Téhéran. La Cour a déclaré que « dans la conduite des relations entre Etats, il n’est pas d’exigence plus fondamentale que celle de l’inviolabilité des diplomates et des ambassades et, au long de l’histoire, des nations de toutes croyances et de toutes cultures ont observé des obligations réciproques à cet effet, et les obligations ainsi assumées pour garantir la sécurité personnelle des diplomates et leur exemption de toute poursuite sont essentielles, ne comportent </w:t>
      </w:r>
      <w:r w:rsidRPr="00A03CEE">
        <w:rPr>
          <w:rFonts w:ascii="Times New Roman" w:hAnsi="Times New Roman"/>
          <w:sz w:val="24"/>
          <w:szCs w:val="24"/>
        </w:rPr>
        <w:lastRenderedPageBreak/>
        <w:t>aucune restriction et sont inhérentes à leur caractère représentatif et leur fonction diplomatique »</w:t>
      </w:r>
      <w:r w:rsidRPr="00A03CEE">
        <w:rPr>
          <w:rStyle w:val="Appelnotedebasdep"/>
          <w:rFonts w:ascii="Times New Roman" w:hAnsi="Times New Roman"/>
          <w:sz w:val="24"/>
          <w:szCs w:val="24"/>
        </w:rPr>
        <w:footnoteReference w:id="21"/>
      </w:r>
      <w:r w:rsidRPr="00A03CEE">
        <w:rPr>
          <w:rFonts w:ascii="Times New Roman" w:hAnsi="Times New Roman"/>
          <w:sz w:val="24"/>
          <w:szCs w:val="24"/>
        </w:rPr>
        <w:t>.</w:t>
      </w:r>
    </w:p>
    <w:p w14:paraId="4C274B12" w14:textId="77777777" w:rsidR="00A55E49" w:rsidRPr="00A03CEE" w:rsidRDefault="00A55E49" w:rsidP="00A55E49">
      <w:pPr>
        <w:spacing w:line="360" w:lineRule="auto"/>
        <w:jc w:val="both"/>
        <w:rPr>
          <w:rFonts w:ascii="Times New Roman" w:hAnsi="Times New Roman"/>
          <w:sz w:val="24"/>
          <w:szCs w:val="24"/>
        </w:rPr>
      </w:pPr>
      <w:r w:rsidRPr="00A03CEE">
        <w:rPr>
          <w:rFonts w:ascii="Times New Roman" w:hAnsi="Times New Roman"/>
          <w:sz w:val="24"/>
          <w:szCs w:val="24"/>
        </w:rPr>
        <w:t>Quant aux privilèges, des exonérations fiscales et des exemptions douanières sont accordées aux agents diplomatiques. Notons que les membres de leurs familles bénéficient aussi de ces immunités et privilèges. Qu’en est-il des agents consulaires ?</w:t>
      </w:r>
    </w:p>
    <w:p w14:paraId="1A77C23D" w14:textId="77777777" w:rsidR="00A55E49" w:rsidRPr="00A03CEE" w:rsidRDefault="00A55E49" w:rsidP="00A55E49">
      <w:pPr>
        <w:spacing w:line="360" w:lineRule="auto"/>
        <w:jc w:val="both"/>
        <w:rPr>
          <w:rFonts w:ascii="Times New Roman" w:hAnsi="Times New Roman"/>
          <w:sz w:val="24"/>
          <w:szCs w:val="24"/>
        </w:rPr>
      </w:pPr>
      <w:r w:rsidRPr="00A03CEE">
        <w:rPr>
          <w:rFonts w:ascii="Times New Roman" w:hAnsi="Times New Roman"/>
          <w:sz w:val="24"/>
          <w:szCs w:val="24"/>
        </w:rPr>
        <w:t xml:space="preserve">Les agents consulaires exercent des fonctions administratives et commerciales. Les immunités et privilèges dont ils bénéficient sont réduits car ils sont exclusivement attachés à leurs fonctions ; ils sont dits fonctionnels. </w:t>
      </w:r>
    </w:p>
    <w:p w14:paraId="7F6369AF" w14:textId="77777777" w:rsidR="00A55E49" w:rsidRPr="00A03CEE" w:rsidRDefault="00A55E49" w:rsidP="00A55E49">
      <w:pPr>
        <w:spacing w:line="360" w:lineRule="auto"/>
        <w:jc w:val="both"/>
        <w:rPr>
          <w:rFonts w:ascii="Times New Roman" w:hAnsi="Times New Roman"/>
          <w:sz w:val="24"/>
          <w:szCs w:val="24"/>
        </w:rPr>
      </w:pPr>
      <w:r w:rsidRPr="00A03CEE">
        <w:rPr>
          <w:rFonts w:ascii="Times New Roman" w:hAnsi="Times New Roman"/>
          <w:sz w:val="24"/>
          <w:szCs w:val="24"/>
        </w:rPr>
        <w:t xml:space="preserve">Il en est ainsi de leur l’inviolabilité personnelle comme l’indique l’art. 41 de la </w:t>
      </w:r>
      <w:proofErr w:type="spellStart"/>
      <w:r w:rsidRPr="00A03CEE">
        <w:rPr>
          <w:rFonts w:ascii="Times New Roman" w:hAnsi="Times New Roman"/>
          <w:sz w:val="24"/>
          <w:szCs w:val="24"/>
        </w:rPr>
        <w:t>Conv</w:t>
      </w:r>
      <w:proofErr w:type="spellEnd"/>
      <w:r w:rsidRPr="00A03CEE">
        <w:rPr>
          <w:rFonts w:ascii="Times New Roman" w:hAnsi="Times New Roman"/>
          <w:sz w:val="24"/>
          <w:szCs w:val="24"/>
        </w:rPr>
        <w:t>. De Vienne du 24 avril 1963 sur les relations consulaires. Il en résulte que l’inviolabilité des consuls est garantie sauf en cas de crime grave et à la suite de décision de l’autorité judiciaire compétente</w:t>
      </w:r>
    </w:p>
    <w:p w14:paraId="23DA6260" w14:textId="77777777" w:rsidR="00A55E49" w:rsidRPr="00A03CEE" w:rsidRDefault="00A55E49" w:rsidP="00A55E49">
      <w:pPr>
        <w:spacing w:line="360" w:lineRule="auto"/>
        <w:jc w:val="both"/>
        <w:rPr>
          <w:rFonts w:ascii="Times New Roman" w:hAnsi="Times New Roman"/>
          <w:sz w:val="24"/>
          <w:szCs w:val="24"/>
        </w:rPr>
      </w:pPr>
      <w:r w:rsidRPr="00A03CEE">
        <w:rPr>
          <w:rFonts w:ascii="Times New Roman" w:hAnsi="Times New Roman"/>
          <w:sz w:val="24"/>
          <w:szCs w:val="24"/>
        </w:rPr>
        <w:t>Il en est de même de leur immunité juridictionnelle qui bien qu’elle les protège dans l’exercice de leurs fonctions en matière pénale ne les couvrent point en matière civile</w:t>
      </w:r>
      <w:r w:rsidRPr="00A03CEE">
        <w:rPr>
          <w:rStyle w:val="Appelnotedebasdep"/>
          <w:rFonts w:ascii="Times New Roman" w:hAnsi="Times New Roman"/>
          <w:sz w:val="24"/>
          <w:szCs w:val="24"/>
        </w:rPr>
        <w:footnoteReference w:id="22"/>
      </w:r>
      <w:r w:rsidRPr="00A03CEE">
        <w:rPr>
          <w:rFonts w:ascii="Times New Roman" w:hAnsi="Times New Roman"/>
          <w:sz w:val="24"/>
          <w:szCs w:val="24"/>
        </w:rPr>
        <w:t xml:space="preserve">.  </w:t>
      </w:r>
    </w:p>
    <w:p w14:paraId="0BFCC3D6" w14:textId="77777777" w:rsidR="00A55E49" w:rsidRPr="00A03CEE" w:rsidRDefault="00A55E49" w:rsidP="00A55E49">
      <w:pPr>
        <w:spacing w:line="360" w:lineRule="auto"/>
        <w:jc w:val="both"/>
        <w:rPr>
          <w:rFonts w:ascii="Times New Roman" w:hAnsi="Times New Roman"/>
          <w:sz w:val="24"/>
          <w:szCs w:val="24"/>
        </w:rPr>
      </w:pPr>
      <w:r w:rsidRPr="00A03CEE">
        <w:rPr>
          <w:rFonts w:ascii="Times New Roman" w:hAnsi="Times New Roman"/>
          <w:sz w:val="24"/>
          <w:szCs w:val="24"/>
        </w:rPr>
        <w:t xml:space="preserve">Pour ce qui relève des exonérations fiscales et exemptions douanières, les consuls sont placés dans la même situation que les diplomates. </w:t>
      </w:r>
    </w:p>
    <w:p w14:paraId="7AF19CBD" w14:textId="77777777" w:rsidR="00A55E49" w:rsidRPr="00A03CEE" w:rsidRDefault="00A55E49" w:rsidP="00A55E49">
      <w:pPr>
        <w:spacing w:line="360" w:lineRule="auto"/>
        <w:jc w:val="both"/>
        <w:rPr>
          <w:rFonts w:ascii="Times New Roman" w:hAnsi="Times New Roman"/>
          <w:sz w:val="24"/>
          <w:szCs w:val="24"/>
        </w:rPr>
      </w:pPr>
      <w:r w:rsidRPr="00A03CEE">
        <w:rPr>
          <w:rFonts w:ascii="Times New Roman" w:hAnsi="Times New Roman"/>
          <w:sz w:val="24"/>
          <w:szCs w:val="24"/>
        </w:rPr>
        <w:t>Les agents diplomatiques et les consuls bénéficient ainsi d’un traitement international maximum discriminatoire par rapport à la situation des étrangers ordinaires.</w:t>
      </w:r>
    </w:p>
    <w:p w14:paraId="2217011D" w14:textId="77777777" w:rsidR="00A55E49" w:rsidRPr="00A03CEE" w:rsidRDefault="00A55E49" w:rsidP="00A55E49">
      <w:pPr>
        <w:spacing w:line="360" w:lineRule="auto"/>
        <w:jc w:val="both"/>
        <w:rPr>
          <w:rFonts w:ascii="Times New Roman" w:hAnsi="Times New Roman"/>
          <w:sz w:val="24"/>
          <w:szCs w:val="24"/>
        </w:rPr>
      </w:pPr>
      <w:r w:rsidRPr="00A03CEE">
        <w:rPr>
          <w:rFonts w:ascii="Times New Roman" w:hAnsi="Times New Roman"/>
          <w:sz w:val="24"/>
          <w:szCs w:val="24"/>
        </w:rPr>
        <w:t>•   La discrimination dans le traitement des étrangers ordinaires : elle est motivée par deux raisons : la sécurité nationale et la sauvegarde de l’intérêt général. Par conséquent, l’Etat de séjour exerce un contrôle de la reconnaissance et de l’exercice des droits civils et politiques ainsi que des droits sociaux et économiques.</w:t>
      </w:r>
    </w:p>
    <w:p w14:paraId="67927226" w14:textId="77777777" w:rsidR="00A55E49" w:rsidRPr="00A03CEE" w:rsidRDefault="00A55E49" w:rsidP="00A55E49">
      <w:pPr>
        <w:spacing w:line="360" w:lineRule="auto"/>
        <w:jc w:val="both"/>
        <w:rPr>
          <w:rFonts w:ascii="Times New Roman" w:hAnsi="Times New Roman"/>
          <w:sz w:val="24"/>
          <w:szCs w:val="24"/>
        </w:rPr>
      </w:pPr>
      <w:r w:rsidRPr="00A03CEE">
        <w:rPr>
          <w:rFonts w:ascii="Times New Roman" w:hAnsi="Times New Roman"/>
          <w:sz w:val="24"/>
          <w:szCs w:val="24"/>
        </w:rPr>
        <w:t xml:space="preserve">Pour les droits civils et politiques, les étrangers en sont exclus. Ces droits ne sont reconnus qu’aux seuls nationaux. Ceux-ci sont les seuls à pouvoir participer à la vie politique et institutionnelle de l’Etat. Aux nationaux est donc reconnue la capacité de jouissance et d’exercice du droit de suffrage, autrement dit être électeurs ou candidats à une élection. Il en est ainsi de certaines libertés comme celle de réunion, d’association, d’enseignement dont ne </w:t>
      </w:r>
      <w:r w:rsidRPr="00A03CEE">
        <w:rPr>
          <w:rFonts w:ascii="Times New Roman" w:hAnsi="Times New Roman"/>
          <w:sz w:val="24"/>
          <w:szCs w:val="24"/>
        </w:rPr>
        <w:lastRenderedPageBreak/>
        <w:t xml:space="preserve">peuvent bénéficier les étrangers sauf à remplir des conditions rigoureuses. </w:t>
      </w:r>
      <w:proofErr w:type="spellStart"/>
      <w:r w:rsidRPr="00A03CEE">
        <w:rPr>
          <w:rFonts w:ascii="Times New Roman" w:hAnsi="Times New Roman"/>
          <w:sz w:val="24"/>
          <w:szCs w:val="24"/>
        </w:rPr>
        <w:t>Egalement</w:t>
      </w:r>
      <w:proofErr w:type="spellEnd"/>
      <w:r w:rsidRPr="00A03CEE">
        <w:rPr>
          <w:rFonts w:ascii="Times New Roman" w:hAnsi="Times New Roman"/>
          <w:sz w:val="24"/>
          <w:szCs w:val="24"/>
        </w:rPr>
        <w:t>, les étrangers ordinaires sont, en vertu du principe de territorialité, justiciables des tribunaux nationaux en matière pénale. Ils peuvent également faire l’objet de mesures d’extradition consistant pour l’Etat de séjour, en vertu d’accords ou traités, de remettre un délinquant de droit commun (et non politique) à l’Etat réclamant pour être jugé sur le territoire où l’infraction a été commise</w:t>
      </w:r>
      <w:r w:rsidRPr="00A03CEE">
        <w:rPr>
          <w:rStyle w:val="Appelnotedebasdep"/>
          <w:rFonts w:ascii="Times New Roman" w:hAnsi="Times New Roman"/>
          <w:sz w:val="24"/>
          <w:szCs w:val="24"/>
        </w:rPr>
        <w:footnoteReference w:id="23"/>
      </w:r>
      <w:r w:rsidRPr="00A03CEE">
        <w:rPr>
          <w:rFonts w:ascii="Times New Roman" w:hAnsi="Times New Roman"/>
          <w:sz w:val="24"/>
          <w:szCs w:val="24"/>
        </w:rPr>
        <w:t>.</w:t>
      </w:r>
    </w:p>
    <w:p w14:paraId="783219FB" w14:textId="77777777" w:rsidR="00A55E49" w:rsidRPr="00A03CEE" w:rsidRDefault="00A55E49" w:rsidP="00A55E49">
      <w:pPr>
        <w:spacing w:line="360" w:lineRule="auto"/>
        <w:jc w:val="both"/>
        <w:rPr>
          <w:rFonts w:ascii="Times New Roman" w:hAnsi="Times New Roman"/>
          <w:sz w:val="24"/>
          <w:szCs w:val="24"/>
        </w:rPr>
      </w:pPr>
      <w:r w:rsidRPr="00A03CEE">
        <w:rPr>
          <w:rFonts w:ascii="Times New Roman" w:hAnsi="Times New Roman"/>
          <w:sz w:val="24"/>
          <w:szCs w:val="24"/>
        </w:rPr>
        <w:t xml:space="preserve">L’étranger peut encore être expulsé. Il s’agit d’une compétence de l’Etat dès lors que le séjour de l’étranger sur le territoire menace l’ordre public.      </w:t>
      </w:r>
    </w:p>
    <w:p w14:paraId="351BADE4" w14:textId="77777777" w:rsidR="00A55E49" w:rsidRPr="00A03CEE" w:rsidRDefault="00A55E49" w:rsidP="00A55E49">
      <w:pPr>
        <w:spacing w:line="360" w:lineRule="auto"/>
        <w:jc w:val="both"/>
        <w:rPr>
          <w:rFonts w:ascii="Times New Roman" w:hAnsi="Times New Roman"/>
          <w:sz w:val="24"/>
          <w:szCs w:val="24"/>
        </w:rPr>
      </w:pPr>
      <w:r w:rsidRPr="00A03CEE">
        <w:rPr>
          <w:rFonts w:ascii="Times New Roman" w:hAnsi="Times New Roman"/>
          <w:sz w:val="24"/>
          <w:szCs w:val="24"/>
        </w:rPr>
        <w:t>Pour les droits sociaux et économiques, l’étranger ne bénéficie pas ici également de traitement de faveur. Ainsi pour l’accès à l’emploi, le principe en la matière est celui de l’autorisation préalable de l’Etat d’accueil</w:t>
      </w:r>
      <w:r w:rsidRPr="00A03CEE">
        <w:rPr>
          <w:rStyle w:val="Appelnotedebasdep"/>
          <w:rFonts w:ascii="Times New Roman" w:hAnsi="Times New Roman"/>
          <w:sz w:val="24"/>
          <w:szCs w:val="24"/>
        </w:rPr>
        <w:footnoteReference w:id="24"/>
      </w:r>
      <w:r w:rsidRPr="00A03CEE">
        <w:rPr>
          <w:rFonts w:ascii="Times New Roman" w:hAnsi="Times New Roman"/>
          <w:sz w:val="24"/>
          <w:szCs w:val="24"/>
        </w:rPr>
        <w:t>. Quant aux biens des étrangers, le constat est le même, le traitement est également discriminatoire. En témoigne, les vagues de nationalisations qui ont suivi la fin du deuxième conflit mondial. C’est dire que le principe des droits acquis a perdu son intangibilité comme le confirma la sentence arbitrale dans l’affaire Texaco-</w:t>
      </w:r>
      <w:proofErr w:type="spellStart"/>
      <w:r w:rsidRPr="00A03CEE">
        <w:rPr>
          <w:rFonts w:ascii="Times New Roman" w:hAnsi="Times New Roman"/>
          <w:sz w:val="24"/>
          <w:szCs w:val="24"/>
        </w:rPr>
        <w:t>calasiatic</w:t>
      </w:r>
      <w:proofErr w:type="spellEnd"/>
      <w:r w:rsidRPr="00A03CEE">
        <w:rPr>
          <w:rFonts w:ascii="Times New Roman" w:hAnsi="Times New Roman"/>
          <w:sz w:val="24"/>
          <w:szCs w:val="24"/>
        </w:rPr>
        <w:t xml:space="preserve"> contre le gouvernement libyen : « le droit d’un Etat de procéder à des nationalisations n’est pas aujourd’hui contestable. Il résulte du droit international coutumier établi, à la suite des pratiques concordantes considérées par la communauté internationale comme étant le droit »</w:t>
      </w:r>
      <w:r w:rsidRPr="00A03CEE">
        <w:rPr>
          <w:rStyle w:val="Appelnotedebasdep"/>
          <w:rFonts w:ascii="Times New Roman" w:hAnsi="Times New Roman"/>
          <w:sz w:val="24"/>
          <w:szCs w:val="24"/>
        </w:rPr>
        <w:footnoteReference w:id="25"/>
      </w:r>
      <w:r w:rsidRPr="00A03CEE">
        <w:rPr>
          <w:rFonts w:ascii="Times New Roman" w:hAnsi="Times New Roman"/>
          <w:sz w:val="24"/>
          <w:szCs w:val="24"/>
        </w:rPr>
        <w:t>.</w:t>
      </w:r>
    </w:p>
    <w:p w14:paraId="01EAD97A" w14:textId="77777777" w:rsidR="00A55E49" w:rsidRPr="00A03CEE" w:rsidRDefault="00A55E49" w:rsidP="00A55E49">
      <w:pPr>
        <w:spacing w:line="360" w:lineRule="auto"/>
        <w:jc w:val="both"/>
        <w:rPr>
          <w:rFonts w:ascii="Times New Roman" w:hAnsi="Times New Roman"/>
          <w:sz w:val="24"/>
          <w:szCs w:val="24"/>
        </w:rPr>
      </w:pPr>
      <w:r w:rsidRPr="00A03CEE">
        <w:rPr>
          <w:rFonts w:ascii="Times New Roman" w:hAnsi="Times New Roman"/>
          <w:sz w:val="24"/>
          <w:szCs w:val="24"/>
        </w:rPr>
        <w:t>Il s’impose en fin de compte que le principe du traitement international minimum est ineffectif. La compétence souveraine des Etats reste inébranlable. Envisageons à présent, les caractéristiques et les compétences de l’Etat.</w:t>
      </w:r>
    </w:p>
    <w:p w14:paraId="29A5C209" w14:textId="77777777" w:rsidR="00A55E49" w:rsidRPr="00A03CEE" w:rsidRDefault="00A55E49" w:rsidP="00A55E49">
      <w:pPr>
        <w:spacing w:line="360" w:lineRule="auto"/>
        <w:jc w:val="both"/>
        <w:rPr>
          <w:rFonts w:ascii="Times New Roman" w:hAnsi="Times New Roman"/>
          <w:b/>
          <w:sz w:val="24"/>
          <w:szCs w:val="24"/>
        </w:rPr>
      </w:pPr>
      <w:r>
        <w:rPr>
          <w:rFonts w:ascii="Times New Roman" w:hAnsi="Times New Roman"/>
          <w:b/>
          <w:sz w:val="24"/>
          <w:szCs w:val="24"/>
        </w:rPr>
        <w:t>Section II :</w:t>
      </w:r>
      <w:r w:rsidRPr="00A03CEE">
        <w:rPr>
          <w:rFonts w:ascii="Times New Roman" w:hAnsi="Times New Roman"/>
          <w:b/>
          <w:sz w:val="24"/>
          <w:szCs w:val="24"/>
        </w:rPr>
        <w:t xml:space="preserve"> Les caractéristiques et les compétences de l’Etat</w:t>
      </w:r>
    </w:p>
    <w:p w14:paraId="5711AD42" w14:textId="77777777" w:rsidR="00A55E49" w:rsidRPr="00A03CEE" w:rsidRDefault="00A55E49" w:rsidP="00A55E49">
      <w:pPr>
        <w:spacing w:line="360" w:lineRule="auto"/>
        <w:jc w:val="both"/>
        <w:rPr>
          <w:rFonts w:ascii="Times New Roman" w:hAnsi="Times New Roman"/>
          <w:sz w:val="24"/>
          <w:szCs w:val="24"/>
        </w:rPr>
      </w:pPr>
      <w:r w:rsidRPr="00A03CEE">
        <w:rPr>
          <w:rFonts w:ascii="Times New Roman" w:hAnsi="Times New Roman"/>
          <w:sz w:val="24"/>
          <w:szCs w:val="24"/>
        </w:rPr>
        <w:t>Les caractéristiques de l’Etat impriment la mise en œuvre de ses compétences dans les relations internationales.</w:t>
      </w:r>
    </w:p>
    <w:p w14:paraId="5C30B396" w14:textId="77777777" w:rsidR="00A55E49" w:rsidRPr="00A03CEE" w:rsidRDefault="00A55E49" w:rsidP="00A55E49">
      <w:pPr>
        <w:spacing w:line="360" w:lineRule="auto"/>
        <w:jc w:val="both"/>
        <w:rPr>
          <w:rFonts w:ascii="Times New Roman" w:hAnsi="Times New Roman"/>
          <w:b/>
          <w:sz w:val="24"/>
          <w:szCs w:val="24"/>
        </w:rPr>
      </w:pPr>
      <w:r>
        <w:rPr>
          <w:rFonts w:ascii="Times New Roman" w:hAnsi="Times New Roman"/>
          <w:b/>
          <w:sz w:val="24"/>
          <w:szCs w:val="24"/>
        </w:rPr>
        <w:t>Paragraphe I :</w:t>
      </w:r>
      <w:r w:rsidRPr="00A03CEE">
        <w:rPr>
          <w:rFonts w:ascii="Times New Roman" w:hAnsi="Times New Roman"/>
          <w:b/>
          <w:sz w:val="24"/>
          <w:szCs w:val="24"/>
        </w:rPr>
        <w:t xml:space="preserve"> Les caractéristiques de l’Etat</w:t>
      </w:r>
    </w:p>
    <w:p w14:paraId="53666FF0" w14:textId="77777777" w:rsidR="00A55E49" w:rsidRPr="00A03CEE" w:rsidRDefault="00A55E49" w:rsidP="00A55E49">
      <w:pPr>
        <w:spacing w:line="360" w:lineRule="auto"/>
        <w:jc w:val="both"/>
        <w:rPr>
          <w:rFonts w:ascii="Times New Roman" w:hAnsi="Times New Roman"/>
          <w:sz w:val="24"/>
          <w:szCs w:val="24"/>
        </w:rPr>
      </w:pPr>
      <w:r w:rsidRPr="00A03CEE">
        <w:rPr>
          <w:rFonts w:ascii="Times New Roman" w:hAnsi="Times New Roman"/>
          <w:sz w:val="24"/>
          <w:szCs w:val="24"/>
        </w:rPr>
        <w:t>Il s’agit d’évoquer ici la souveraineté et la personnalité juridique de l’Etat.</w:t>
      </w:r>
    </w:p>
    <w:p w14:paraId="1BE119FD" w14:textId="77777777" w:rsidR="00A55E49" w:rsidRPr="00A03CEE" w:rsidRDefault="00A55E49" w:rsidP="00A55E49">
      <w:pPr>
        <w:spacing w:line="360" w:lineRule="auto"/>
        <w:ind w:left="360"/>
        <w:jc w:val="both"/>
        <w:rPr>
          <w:rFonts w:ascii="Times New Roman" w:hAnsi="Times New Roman"/>
          <w:b/>
          <w:sz w:val="24"/>
          <w:szCs w:val="24"/>
        </w:rPr>
      </w:pPr>
      <w:r>
        <w:rPr>
          <w:rFonts w:ascii="Times New Roman" w:hAnsi="Times New Roman"/>
          <w:b/>
          <w:sz w:val="24"/>
          <w:szCs w:val="24"/>
        </w:rPr>
        <w:lastRenderedPageBreak/>
        <w:t xml:space="preserve">I. </w:t>
      </w:r>
      <w:r w:rsidRPr="00A03CEE">
        <w:rPr>
          <w:rFonts w:ascii="Times New Roman" w:hAnsi="Times New Roman"/>
          <w:b/>
          <w:sz w:val="24"/>
          <w:szCs w:val="24"/>
        </w:rPr>
        <w:t>La souveraineté</w:t>
      </w:r>
    </w:p>
    <w:p w14:paraId="25AEC38C" w14:textId="77777777" w:rsidR="00A55E49" w:rsidRPr="00A03CEE" w:rsidRDefault="00A55E49" w:rsidP="00A55E49">
      <w:pPr>
        <w:spacing w:line="360" w:lineRule="auto"/>
        <w:jc w:val="both"/>
        <w:rPr>
          <w:rFonts w:ascii="Times New Roman" w:hAnsi="Times New Roman"/>
          <w:sz w:val="24"/>
          <w:szCs w:val="24"/>
        </w:rPr>
      </w:pPr>
      <w:r w:rsidRPr="00A03CEE">
        <w:rPr>
          <w:rFonts w:ascii="Times New Roman" w:hAnsi="Times New Roman"/>
          <w:sz w:val="24"/>
          <w:szCs w:val="24"/>
        </w:rPr>
        <w:t>Elle distingue l’Etat des autres sujets de droit. La définition de la souveraineté permettra d’en mieux percevoir les implications.</w:t>
      </w:r>
    </w:p>
    <w:p w14:paraId="3C909406" w14:textId="77777777" w:rsidR="00A55E49" w:rsidRPr="00A03CEE" w:rsidRDefault="00A55E49" w:rsidP="00A55E49">
      <w:pPr>
        <w:numPr>
          <w:ilvl w:val="0"/>
          <w:numId w:val="3"/>
        </w:numPr>
        <w:spacing w:line="360" w:lineRule="auto"/>
        <w:jc w:val="both"/>
        <w:rPr>
          <w:rFonts w:ascii="Times New Roman" w:hAnsi="Times New Roman"/>
          <w:b/>
          <w:sz w:val="24"/>
          <w:szCs w:val="24"/>
        </w:rPr>
      </w:pPr>
      <w:r w:rsidRPr="00A03CEE">
        <w:rPr>
          <w:rFonts w:ascii="Times New Roman" w:hAnsi="Times New Roman"/>
          <w:b/>
          <w:sz w:val="24"/>
          <w:szCs w:val="24"/>
        </w:rPr>
        <w:t>Le sens de la souveraineté</w:t>
      </w:r>
    </w:p>
    <w:p w14:paraId="118B6C92" w14:textId="77777777" w:rsidR="00A55E49" w:rsidRPr="00A03CEE" w:rsidRDefault="00A55E49" w:rsidP="00A55E49">
      <w:pPr>
        <w:spacing w:line="360" w:lineRule="auto"/>
        <w:jc w:val="both"/>
        <w:rPr>
          <w:rFonts w:ascii="Times New Roman" w:hAnsi="Times New Roman"/>
          <w:sz w:val="24"/>
          <w:szCs w:val="24"/>
        </w:rPr>
      </w:pPr>
      <w:r>
        <w:rPr>
          <w:rFonts w:ascii="Times New Roman" w:hAnsi="Times New Roman"/>
          <w:sz w:val="24"/>
          <w:szCs w:val="24"/>
        </w:rPr>
        <w:t xml:space="preserve">    </w:t>
      </w:r>
      <w:r w:rsidRPr="00A03CEE">
        <w:rPr>
          <w:rFonts w:ascii="Times New Roman" w:hAnsi="Times New Roman"/>
          <w:sz w:val="24"/>
          <w:szCs w:val="24"/>
        </w:rPr>
        <w:t>Etymologiquement, la souveraineté est le pouvoir suprême. Alors que la souveraineté interne semble absolue, la souveraineté internationale est plutôt relative. En effet, pour Serge Sur, l’indépendance et l’égalité des Etats en droit international traduisent la limitation de la souveraineté internationale</w:t>
      </w:r>
      <w:r w:rsidRPr="00A03CEE">
        <w:rPr>
          <w:rStyle w:val="Appelnotedebasdep"/>
          <w:rFonts w:ascii="Times New Roman" w:hAnsi="Times New Roman"/>
          <w:sz w:val="24"/>
          <w:szCs w:val="24"/>
        </w:rPr>
        <w:footnoteReference w:id="26"/>
      </w:r>
      <w:r w:rsidRPr="00A03CEE">
        <w:rPr>
          <w:rFonts w:ascii="Times New Roman" w:hAnsi="Times New Roman"/>
          <w:sz w:val="24"/>
          <w:szCs w:val="24"/>
        </w:rPr>
        <w:t>. Dans le même sens, Dupuy René-Jean note que la souveraineté est le pouvoir exclusif que possède tout Etat mais limitée par le droit international</w:t>
      </w:r>
      <w:r w:rsidRPr="00A03CEE">
        <w:rPr>
          <w:rStyle w:val="Appelnotedebasdep"/>
          <w:rFonts w:ascii="Times New Roman" w:hAnsi="Times New Roman"/>
          <w:sz w:val="24"/>
          <w:szCs w:val="24"/>
        </w:rPr>
        <w:footnoteReference w:id="27"/>
      </w:r>
      <w:r w:rsidRPr="00A03CEE">
        <w:rPr>
          <w:rFonts w:ascii="Times New Roman" w:hAnsi="Times New Roman"/>
          <w:sz w:val="24"/>
          <w:szCs w:val="24"/>
        </w:rPr>
        <w:t>. Quelles en sont les implications ?</w:t>
      </w:r>
    </w:p>
    <w:p w14:paraId="2CD0CDF8" w14:textId="77777777" w:rsidR="00A55E49" w:rsidRPr="00A03CEE" w:rsidRDefault="00A55E49" w:rsidP="00A55E49">
      <w:pPr>
        <w:numPr>
          <w:ilvl w:val="0"/>
          <w:numId w:val="3"/>
        </w:numPr>
        <w:spacing w:line="360" w:lineRule="auto"/>
        <w:jc w:val="both"/>
        <w:rPr>
          <w:rFonts w:ascii="Times New Roman" w:hAnsi="Times New Roman"/>
          <w:b/>
          <w:sz w:val="24"/>
          <w:szCs w:val="24"/>
        </w:rPr>
      </w:pPr>
      <w:r w:rsidRPr="00A03CEE">
        <w:rPr>
          <w:rFonts w:ascii="Times New Roman" w:hAnsi="Times New Roman"/>
          <w:b/>
          <w:sz w:val="24"/>
          <w:szCs w:val="24"/>
        </w:rPr>
        <w:t>Les implications de la souveraineté</w:t>
      </w:r>
    </w:p>
    <w:p w14:paraId="617A6E05" w14:textId="77777777" w:rsidR="00A55E49" w:rsidRPr="00A03CEE" w:rsidRDefault="00A55E49" w:rsidP="00A55E49">
      <w:pPr>
        <w:spacing w:line="360" w:lineRule="auto"/>
        <w:jc w:val="both"/>
        <w:rPr>
          <w:rFonts w:ascii="Times New Roman" w:hAnsi="Times New Roman"/>
          <w:sz w:val="24"/>
          <w:szCs w:val="24"/>
        </w:rPr>
      </w:pPr>
      <w:r>
        <w:rPr>
          <w:rFonts w:ascii="Times New Roman" w:hAnsi="Times New Roman"/>
          <w:sz w:val="24"/>
          <w:szCs w:val="24"/>
        </w:rPr>
        <w:t xml:space="preserve">       </w:t>
      </w:r>
      <w:r w:rsidRPr="00A03CEE">
        <w:rPr>
          <w:rFonts w:ascii="Times New Roman" w:hAnsi="Times New Roman"/>
          <w:sz w:val="24"/>
          <w:szCs w:val="24"/>
        </w:rPr>
        <w:t xml:space="preserve">Dans l’ordre interne, le trait caractéristique de la souveraineté est l’indépendance de l’Etat. Il dispose de la « compétence des compétences », c’est-à-dire qu’il détient l’exclusivité ou le monopole des compétences. Autrement dit, il a une liberté totale de décision et dispose de la plénitude des compétences. En d’autres termes, il n’a besoin d’aucune habilitation spéciale pour exercer ses compétences. </w:t>
      </w:r>
    </w:p>
    <w:p w14:paraId="30DBA83C" w14:textId="77777777" w:rsidR="00A55E49" w:rsidRPr="00A03CEE" w:rsidRDefault="00A55E49" w:rsidP="00A55E49">
      <w:pPr>
        <w:spacing w:line="360" w:lineRule="auto"/>
        <w:jc w:val="both"/>
        <w:rPr>
          <w:rFonts w:ascii="Times New Roman" w:hAnsi="Times New Roman"/>
          <w:sz w:val="24"/>
          <w:szCs w:val="24"/>
        </w:rPr>
      </w:pPr>
      <w:r w:rsidRPr="00A03CEE">
        <w:rPr>
          <w:rFonts w:ascii="Times New Roman" w:hAnsi="Times New Roman"/>
          <w:sz w:val="24"/>
          <w:szCs w:val="24"/>
        </w:rPr>
        <w:t xml:space="preserve">Dans l’ordre international, la souveraineté de l’Etat a pour effet la non-intervention ou la non-ingérence dans les affaires intérieures d’un autre Etat. Dans les faits, les cas de non-respect de cette obligation sont nombreux : en 1977, la France intervenait à Kolwezi (ex-Zaïre) ; l’Union soviétique en Afghanistan en 1979 et plus récemment, les Etats-Unis intervenaient en Irak. En plus de la souveraineté, l’Etat est dotée au niveau international d’une personnalité juridique. </w:t>
      </w:r>
    </w:p>
    <w:p w14:paraId="75D1C748" w14:textId="77777777" w:rsidR="00A55E49" w:rsidRPr="00A03CEE" w:rsidRDefault="00A55E49" w:rsidP="00A55E49">
      <w:pPr>
        <w:spacing w:line="360" w:lineRule="auto"/>
        <w:jc w:val="both"/>
        <w:rPr>
          <w:rFonts w:ascii="Times New Roman" w:hAnsi="Times New Roman"/>
          <w:b/>
          <w:sz w:val="24"/>
          <w:szCs w:val="24"/>
        </w:rPr>
      </w:pPr>
      <w:r>
        <w:rPr>
          <w:rFonts w:ascii="Times New Roman" w:hAnsi="Times New Roman"/>
          <w:b/>
          <w:sz w:val="24"/>
          <w:szCs w:val="24"/>
        </w:rPr>
        <w:t>II.</w:t>
      </w:r>
      <w:r w:rsidRPr="00A03CEE">
        <w:rPr>
          <w:rFonts w:ascii="Times New Roman" w:hAnsi="Times New Roman"/>
          <w:b/>
          <w:sz w:val="24"/>
          <w:szCs w:val="24"/>
        </w:rPr>
        <w:t xml:space="preserve"> La personnalité juridique de l’Etat</w:t>
      </w:r>
    </w:p>
    <w:p w14:paraId="0BD70BEC" w14:textId="77777777" w:rsidR="00A55E49" w:rsidRPr="00A03CEE" w:rsidRDefault="00A55E49" w:rsidP="00A55E49">
      <w:pPr>
        <w:spacing w:line="360" w:lineRule="auto"/>
        <w:jc w:val="both"/>
        <w:rPr>
          <w:rFonts w:ascii="Times New Roman" w:hAnsi="Times New Roman"/>
          <w:sz w:val="24"/>
          <w:szCs w:val="24"/>
        </w:rPr>
      </w:pPr>
      <w:r>
        <w:rPr>
          <w:rFonts w:ascii="Times New Roman" w:hAnsi="Times New Roman"/>
          <w:sz w:val="24"/>
          <w:szCs w:val="24"/>
        </w:rPr>
        <w:t xml:space="preserve">      </w:t>
      </w:r>
      <w:r w:rsidRPr="00A03CEE">
        <w:rPr>
          <w:rFonts w:ascii="Times New Roman" w:hAnsi="Times New Roman"/>
          <w:sz w:val="24"/>
          <w:szCs w:val="24"/>
        </w:rPr>
        <w:t xml:space="preserve">La personnalité juridique signifie la capacité de l’Etat à être titulaire de droits et de devoirs.  A cela s’ajoute le caractère moral de la personnalité juridique, c’est-à-dire que l’Etat est un concept, une abstraction. Alors que la personnalité de l’Etat est démultipliée au niveau interne en raison de l’existence d’autres personnes morales de droit public (établissements publics, collectivités décentralisées), dans l’ordre international, il y a unité de la personnalité de l’Etat. </w:t>
      </w:r>
    </w:p>
    <w:p w14:paraId="53F10C76" w14:textId="77777777" w:rsidR="00A55E49" w:rsidRPr="00A03CEE" w:rsidRDefault="00A55E49" w:rsidP="00A55E49">
      <w:pPr>
        <w:spacing w:line="360" w:lineRule="auto"/>
        <w:jc w:val="both"/>
        <w:rPr>
          <w:rFonts w:ascii="Times New Roman" w:hAnsi="Times New Roman"/>
          <w:sz w:val="24"/>
          <w:szCs w:val="24"/>
        </w:rPr>
      </w:pPr>
      <w:r>
        <w:rPr>
          <w:rFonts w:ascii="Times New Roman" w:hAnsi="Times New Roman"/>
          <w:sz w:val="24"/>
          <w:szCs w:val="24"/>
        </w:rPr>
        <w:lastRenderedPageBreak/>
        <w:t xml:space="preserve">      </w:t>
      </w:r>
      <w:r w:rsidRPr="00A03CEE">
        <w:rPr>
          <w:rFonts w:ascii="Times New Roman" w:hAnsi="Times New Roman"/>
          <w:sz w:val="24"/>
          <w:szCs w:val="24"/>
        </w:rPr>
        <w:t xml:space="preserve">La personnalité juridique à diverses implications : la possibilité pour l’Etat d’ester en justice ou d’être attrait devant les juridictions compétentes. </w:t>
      </w:r>
      <w:proofErr w:type="spellStart"/>
      <w:r w:rsidRPr="00A03CEE">
        <w:rPr>
          <w:rFonts w:ascii="Times New Roman" w:hAnsi="Times New Roman"/>
          <w:sz w:val="24"/>
          <w:szCs w:val="24"/>
        </w:rPr>
        <w:t>Egalement</w:t>
      </w:r>
      <w:proofErr w:type="spellEnd"/>
      <w:r w:rsidRPr="00A03CEE">
        <w:rPr>
          <w:rFonts w:ascii="Times New Roman" w:hAnsi="Times New Roman"/>
          <w:sz w:val="24"/>
          <w:szCs w:val="24"/>
        </w:rPr>
        <w:t xml:space="preserve">, la personnalité juridique sous-tend la continuité de l’Etat. Il s’en suit que les changements, au niveau du gouvernement ou du territoire ne sauraient remettre en cause l’existence de l’Etat. Aussi les engagements souscrits par un précédent gouvernement doivent-ils être respectés par le nouveau gouvernement.   </w:t>
      </w:r>
    </w:p>
    <w:p w14:paraId="6177FFC1" w14:textId="77777777" w:rsidR="00A55E49" w:rsidRPr="00A03CEE" w:rsidRDefault="00A55E49" w:rsidP="00A55E49">
      <w:pPr>
        <w:spacing w:line="360" w:lineRule="auto"/>
        <w:jc w:val="both"/>
        <w:rPr>
          <w:rFonts w:ascii="Times New Roman" w:hAnsi="Times New Roman"/>
          <w:sz w:val="24"/>
          <w:szCs w:val="24"/>
        </w:rPr>
      </w:pPr>
      <w:r w:rsidRPr="00A03CEE">
        <w:rPr>
          <w:rFonts w:ascii="Times New Roman" w:hAnsi="Times New Roman"/>
          <w:sz w:val="24"/>
          <w:szCs w:val="24"/>
        </w:rPr>
        <w:t>Envisageons maintenant les compétences de l’Etat.</w:t>
      </w:r>
    </w:p>
    <w:p w14:paraId="539B76BD" w14:textId="77777777" w:rsidR="00A55E49" w:rsidRPr="00A03CEE" w:rsidRDefault="00A55E49" w:rsidP="00A55E49">
      <w:pPr>
        <w:spacing w:line="360" w:lineRule="auto"/>
        <w:jc w:val="both"/>
        <w:rPr>
          <w:rFonts w:ascii="Times New Roman" w:hAnsi="Times New Roman"/>
          <w:b/>
          <w:sz w:val="24"/>
          <w:szCs w:val="24"/>
        </w:rPr>
      </w:pPr>
      <w:r>
        <w:rPr>
          <w:rFonts w:ascii="Times New Roman" w:hAnsi="Times New Roman"/>
          <w:b/>
          <w:sz w:val="24"/>
          <w:szCs w:val="24"/>
        </w:rPr>
        <w:t xml:space="preserve">Paragraphe II : </w:t>
      </w:r>
      <w:r w:rsidRPr="00A03CEE">
        <w:rPr>
          <w:rFonts w:ascii="Times New Roman" w:hAnsi="Times New Roman"/>
          <w:b/>
          <w:sz w:val="24"/>
          <w:szCs w:val="24"/>
        </w:rPr>
        <w:t xml:space="preserve"> Les compétences de l’Etat </w:t>
      </w:r>
    </w:p>
    <w:p w14:paraId="0E271285" w14:textId="77777777" w:rsidR="00A55E49" w:rsidRPr="00A03CEE" w:rsidRDefault="00A55E49" w:rsidP="00A55E49">
      <w:pPr>
        <w:spacing w:line="360" w:lineRule="auto"/>
        <w:jc w:val="both"/>
        <w:rPr>
          <w:rFonts w:ascii="Times New Roman" w:hAnsi="Times New Roman"/>
          <w:sz w:val="24"/>
          <w:szCs w:val="24"/>
        </w:rPr>
      </w:pPr>
      <w:r w:rsidRPr="00A03CEE">
        <w:rPr>
          <w:rFonts w:ascii="Times New Roman" w:hAnsi="Times New Roman"/>
          <w:sz w:val="24"/>
          <w:szCs w:val="24"/>
        </w:rPr>
        <w:t xml:space="preserve">Une compétence s’entend de l’aptitude légale à accomplir un acte, à prendre une décision, à poser un acte. L’Etat est doté de compétences internes et de compétences internationales. </w:t>
      </w:r>
    </w:p>
    <w:p w14:paraId="0BFE3456" w14:textId="77777777" w:rsidR="00A55E49" w:rsidRPr="00A03CEE" w:rsidRDefault="00A55E49" w:rsidP="00A55E49">
      <w:pPr>
        <w:numPr>
          <w:ilvl w:val="0"/>
          <w:numId w:val="6"/>
        </w:numPr>
        <w:spacing w:line="360" w:lineRule="auto"/>
        <w:jc w:val="both"/>
        <w:rPr>
          <w:rFonts w:ascii="Times New Roman" w:hAnsi="Times New Roman"/>
          <w:b/>
          <w:sz w:val="24"/>
          <w:szCs w:val="24"/>
        </w:rPr>
      </w:pPr>
      <w:r w:rsidRPr="00A03CEE">
        <w:rPr>
          <w:rFonts w:ascii="Times New Roman" w:hAnsi="Times New Roman"/>
          <w:b/>
          <w:sz w:val="24"/>
          <w:szCs w:val="24"/>
        </w:rPr>
        <w:t>Les compétences internes</w:t>
      </w:r>
    </w:p>
    <w:p w14:paraId="322A8DAD" w14:textId="77777777" w:rsidR="00A55E49" w:rsidRPr="00A03CEE" w:rsidRDefault="00A55E49" w:rsidP="00A55E49">
      <w:pPr>
        <w:spacing w:line="360" w:lineRule="auto"/>
        <w:jc w:val="both"/>
        <w:rPr>
          <w:rFonts w:ascii="Times New Roman" w:hAnsi="Times New Roman"/>
          <w:sz w:val="24"/>
          <w:szCs w:val="24"/>
        </w:rPr>
      </w:pPr>
      <w:r w:rsidRPr="00A03CEE">
        <w:rPr>
          <w:rFonts w:ascii="Times New Roman" w:hAnsi="Times New Roman"/>
          <w:sz w:val="24"/>
          <w:szCs w:val="24"/>
        </w:rPr>
        <w:t>Elles sont de trois ordres : territorial, personnel, et fonctionnel.</w:t>
      </w:r>
    </w:p>
    <w:p w14:paraId="2589F5CC" w14:textId="77777777" w:rsidR="00A55E49" w:rsidRPr="00A03CEE" w:rsidRDefault="00A55E49" w:rsidP="00A55E49">
      <w:pPr>
        <w:spacing w:line="360" w:lineRule="auto"/>
        <w:ind w:left="720"/>
        <w:jc w:val="both"/>
        <w:rPr>
          <w:rFonts w:ascii="Times New Roman" w:hAnsi="Times New Roman"/>
          <w:sz w:val="24"/>
          <w:szCs w:val="24"/>
        </w:rPr>
      </w:pPr>
      <w:r>
        <w:rPr>
          <w:rFonts w:ascii="Times New Roman" w:hAnsi="Times New Roman"/>
          <w:b/>
          <w:i/>
          <w:sz w:val="24"/>
          <w:szCs w:val="24"/>
        </w:rPr>
        <w:t>-</w:t>
      </w:r>
      <w:r w:rsidRPr="00A03CEE">
        <w:rPr>
          <w:rFonts w:ascii="Times New Roman" w:hAnsi="Times New Roman"/>
          <w:b/>
          <w:i/>
          <w:sz w:val="24"/>
          <w:szCs w:val="24"/>
        </w:rPr>
        <w:t>La compétence territoriale</w:t>
      </w:r>
      <w:r w:rsidRPr="00A03CEE">
        <w:rPr>
          <w:rFonts w:ascii="Times New Roman" w:hAnsi="Times New Roman"/>
          <w:sz w:val="24"/>
          <w:szCs w:val="24"/>
        </w:rPr>
        <w:t> : elle s’entend de la compétence exercée sur toute l’étendue du territoire de l’Etat et sur tout ce qui s’y trouve où s’y rattache. Il s’agit de compétences législatives, administratives et juridictionnelles.</w:t>
      </w:r>
    </w:p>
    <w:p w14:paraId="38A765AE" w14:textId="77777777" w:rsidR="00A55E49" w:rsidRPr="00A03CEE" w:rsidRDefault="00A55E49" w:rsidP="00A55E49">
      <w:pPr>
        <w:spacing w:line="360" w:lineRule="auto"/>
        <w:ind w:left="720"/>
        <w:jc w:val="both"/>
        <w:rPr>
          <w:rFonts w:ascii="Times New Roman" w:hAnsi="Times New Roman"/>
          <w:sz w:val="24"/>
          <w:szCs w:val="24"/>
        </w:rPr>
      </w:pPr>
      <w:r>
        <w:rPr>
          <w:rFonts w:ascii="Times New Roman" w:hAnsi="Times New Roman"/>
          <w:b/>
          <w:i/>
          <w:sz w:val="24"/>
          <w:szCs w:val="24"/>
        </w:rPr>
        <w:t>-</w:t>
      </w:r>
      <w:r w:rsidRPr="00A03CEE">
        <w:rPr>
          <w:rFonts w:ascii="Times New Roman" w:hAnsi="Times New Roman"/>
          <w:b/>
          <w:i/>
          <w:sz w:val="24"/>
          <w:szCs w:val="24"/>
        </w:rPr>
        <w:t>La compétence personnelle</w:t>
      </w:r>
      <w:r w:rsidRPr="00A03CEE">
        <w:rPr>
          <w:rFonts w:ascii="Times New Roman" w:hAnsi="Times New Roman"/>
          <w:sz w:val="24"/>
          <w:szCs w:val="24"/>
        </w:rPr>
        <w:t xml:space="preserve"> : c’est celle que l’Etat exerce sur ses nationaux sur son territoire ou à l’étranger. </w:t>
      </w:r>
    </w:p>
    <w:p w14:paraId="08F4A47F" w14:textId="77777777" w:rsidR="00A55E49" w:rsidRPr="00A03CEE" w:rsidRDefault="00A55E49" w:rsidP="00A55E49">
      <w:pPr>
        <w:spacing w:line="360" w:lineRule="auto"/>
        <w:ind w:left="360"/>
        <w:jc w:val="both"/>
        <w:rPr>
          <w:rFonts w:ascii="Times New Roman" w:hAnsi="Times New Roman"/>
          <w:sz w:val="24"/>
          <w:szCs w:val="24"/>
        </w:rPr>
      </w:pPr>
      <w:r>
        <w:rPr>
          <w:rFonts w:ascii="Times New Roman" w:hAnsi="Times New Roman"/>
          <w:b/>
          <w:i/>
          <w:sz w:val="24"/>
          <w:szCs w:val="24"/>
        </w:rPr>
        <w:t>-</w:t>
      </w:r>
      <w:r w:rsidRPr="00A03CEE">
        <w:rPr>
          <w:rFonts w:ascii="Times New Roman" w:hAnsi="Times New Roman"/>
          <w:b/>
          <w:i/>
          <w:sz w:val="24"/>
          <w:szCs w:val="24"/>
        </w:rPr>
        <w:t>La compétence fonctionnelle</w:t>
      </w:r>
      <w:r w:rsidRPr="00A03CEE">
        <w:rPr>
          <w:rFonts w:ascii="Times New Roman" w:hAnsi="Times New Roman"/>
          <w:sz w:val="24"/>
          <w:szCs w:val="24"/>
        </w:rPr>
        <w:t> : elle s’exerce à raison des services publics à l’étranger ou sur le territoire national. Elle porte sur l’organisation politique, la défense nationale, les services diplomatiques et consulaires.</w:t>
      </w:r>
    </w:p>
    <w:p w14:paraId="2C575F46" w14:textId="77777777" w:rsidR="00A55E49" w:rsidRPr="00A03CEE" w:rsidRDefault="00A55E49" w:rsidP="00A55E49">
      <w:pPr>
        <w:spacing w:line="360" w:lineRule="auto"/>
        <w:jc w:val="both"/>
        <w:rPr>
          <w:rFonts w:ascii="Times New Roman" w:hAnsi="Times New Roman"/>
          <w:sz w:val="24"/>
          <w:szCs w:val="24"/>
        </w:rPr>
      </w:pPr>
      <w:r w:rsidRPr="00A03CEE">
        <w:rPr>
          <w:rFonts w:ascii="Times New Roman" w:hAnsi="Times New Roman"/>
          <w:sz w:val="24"/>
          <w:szCs w:val="24"/>
        </w:rPr>
        <w:t>A côté des compétences internes, l’Etat est doté de compétences internationales.</w:t>
      </w:r>
    </w:p>
    <w:p w14:paraId="2EEED0AE" w14:textId="77777777" w:rsidR="00A55E49" w:rsidRPr="00A03CEE" w:rsidRDefault="00A55E49" w:rsidP="00A55E49">
      <w:pPr>
        <w:spacing w:line="360" w:lineRule="auto"/>
        <w:jc w:val="both"/>
        <w:rPr>
          <w:rFonts w:ascii="Times New Roman" w:hAnsi="Times New Roman"/>
          <w:b/>
          <w:sz w:val="24"/>
          <w:szCs w:val="24"/>
        </w:rPr>
      </w:pPr>
      <w:r>
        <w:rPr>
          <w:rFonts w:ascii="Times New Roman" w:hAnsi="Times New Roman"/>
          <w:b/>
          <w:sz w:val="24"/>
          <w:szCs w:val="24"/>
        </w:rPr>
        <w:t xml:space="preserve">II.  </w:t>
      </w:r>
      <w:r w:rsidRPr="00A03CEE">
        <w:rPr>
          <w:rFonts w:ascii="Times New Roman" w:hAnsi="Times New Roman"/>
          <w:b/>
          <w:sz w:val="24"/>
          <w:szCs w:val="24"/>
        </w:rPr>
        <w:t xml:space="preserve"> Les compétences internationales</w:t>
      </w:r>
    </w:p>
    <w:p w14:paraId="1AC86B4B" w14:textId="77777777" w:rsidR="00A55E49" w:rsidRPr="00A03CEE" w:rsidRDefault="00A55E49" w:rsidP="00A55E49">
      <w:pPr>
        <w:spacing w:line="360" w:lineRule="auto"/>
        <w:jc w:val="both"/>
        <w:rPr>
          <w:rFonts w:ascii="Times New Roman" w:hAnsi="Times New Roman"/>
          <w:sz w:val="24"/>
          <w:szCs w:val="24"/>
        </w:rPr>
      </w:pPr>
      <w:r>
        <w:rPr>
          <w:rFonts w:ascii="Times New Roman" w:hAnsi="Times New Roman"/>
          <w:sz w:val="24"/>
          <w:szCs w:val="24"/>
        </w:rPr>
        <w:t xml:space="preserve">   </w:t>
      </w:r>
      <w:r w:rsidRPr="00A03CEE">
        <w:rPr>
          <w:rFonts w:ascii="Times New Roman" w:hAnsi="Times New Roman"/>
          <w:sz w:val="24"/>
          <w:szCs w:val="24"/>
        </w:rPr>
        <w:t>Elles sont mises en œuvre dans le cadre des rapports de l’Etat avec les autres acteurs des relations internationales. En raison de leur diversité, nous en retiendrons les plus caractéristiques :</w:t>
      </w:r>
    </w:p>
    <w:p w14:paraId="15C8EC0C" w14:textId="77777777" w:rsidR="00A55E49" w:rsidRPr="00A03CEE" w:rsidRDefault="00A55E49" w:rsidP="00A55E49">
      <w:pPr>
        <w:numPr>
          <w:ilvl w:val="0"/>
          <w:numId w:val="4"/>
        </w:numPr>
        <w:spacing w:line="360" w:lineRule="auto"/>
        <w:jc w:val="both"/>
        <w:rPr>
          <w:rFonts w:ascii="Times New Roman" w:hAnsi="Times New Roman"/>
          <w:b/>
          <w:sz w:val="24"/>
          <w:szCs w:val="24"/>
        </w:rPr>
      </w:pPr>
      <w:r w:rsidRPr="00A03CEE">
        <w:rPr>
          <w:rFonts w:ascii="Times New Roman" w:hAnsi="Times New Roman"/>
          <w:b/>
          <w:sz w:val="24"/>
          <w:szCs w:val="24"/>
        </w:rPr>
        <w:t>Les relations diplomatiques</w:t>
      </w:r>
    </w:p>
    <w:p w14:paraId="58144CFE" w14:textId="77777777" w:rsidR="00A55E49" w:rsidRPr="00A03CEE" w:rsidRDefault="00A55E49" w:rsidP="00A55E49">
      <w:pPr>
        <w:spacing w:line="360" w:lineRule="auto"/>
        <w:jc w:val="both"/>
        <w:rPr>
          <w:rFonts w:ascii="Times New Roman" w:hAnsi="Times New Roman"/>
          <w:sz w:val="24"/>
          <w:szCs w:val="24"/>
        </w:rPr>
      </w:pPr>
      <w:r>
        <w:rPr>
          <w:rFonts w:ascii="Times New Roman" w:hAnsi="Times New Roman"/>
          <w:sz w:val="24"/>
          <w:szCs w:val="24"/>
        </w:rPr>
        <w:lastRenderedPageBreak/>
        <w:t xml:space="preserve">   </w:t>
      </w:r>
      <w:r w:rsidRPr="00A03CEE">
        <w:rPr>
          <w:rFonts w:ascii="Times New Roman" w:hAnsi="Times New Roman"/>
          <w:sz w:val="24"/>
          <w:szCs w:val="24"/>
        </w:rPr>
        <w:t xml:space="preserve">Les Etats échangent des diplomates. Il s’agit du droit de légation. Il est dit actif quand l’Etat envoie des agents diplomatiques à l’étranger et passif quand l’Etat en reçoit. Est Etat accréditant celui qui envoie et accréditaire celui qui reçoit. </w:t>
      </w:r>
    </w:p>
    <w:p w14:paraId="1DDA94CD" w14:textId="77777777" w:rsidR="00A55E49" w:rsidRPr="00A03CEE" w:rsidRDefault="00A55E49" w:rsidP="00A55E49">
      <w:pPr>
        <w:numPr>
          <w:ilvl w:val="0"/>
          <w:numId w:val="4"/>
        </w:numPr>
        <w:spacing w:line="360" w:lineRule="auto"/>
        <w:jc w:val="both"/>
        <w:rPr>
          <w:rFonts w:ascii="Times New Roman" w:hAnsi="Times New Roman"/>
          <w:b/>
          <w:sz w:val="24"/>
          <w:szCs w:val="24"/>
        </w:rPr>
      </w:pPr>
      <w:r w:rsidRPr="00A03CEE">
        <w:rPr>
          <w:rFonts w:ascii="Times New Roman" w:hAnsi="Times New Roman"/>
          <w:b/>
          <w:sz w:val="24"/>
          <w:szCs w:val="24"/>
        </w:rPr>
        <w:t>Le pouvoir de conclure des traités</w:t>
      </w:r>
    </w:p>
    <w:p w14:paraId="658B3EDB" w14:textId="77777777" w:rsidR="00A55E49" w:rsidRPr="00A03CEE" w:rsidRDefault="00A55E49" w:rsidP="00A55E49">
      <w:pPr>
        <w:spacing w:line="360" w:lineRule="auto"/>
        <w:jc w:val="both"/>
        <w:rPr>
          <w:rFonts w:ascii="Times New Roman" w:hAnsi="Times New Roman"/>
          <w:sz w:val="24"/>
          <w:szCs w:val="24"/>
        </w:rPr>
      </w:pPr>
      <w:r>
        <w:rPr>
          <w:rFonts w:ascii="Times New Roman" w:hAnsi="Times New Roman"/>
          <w:sz w:val="24"/>
          <w:szCs w:val="24"/>
        </w:rPr>
        <w:t xml:space="preserve">  </w:t>
      </w:r>
      <w:r w:rsidRPr="00A03CEE">
        <w:rPr>
          <w:rFonts w:ascii="Times New Roman" w:hAnsi="Times New Roman"/>
          <w:sz w:val="24"/>
          <w:szCs w:val="24"/>
        </w:rPr>
        <w:t xml:space="preserve">L’Etat a la possibilité de conclure des conventions internationales avec d’autres acteurs des relations internationales. </w:t>
      </w:r>
    </w:p>
    <w:p w14:paraId="29F75537" w14:textId="77777777" w:rsidR="00A55E49" w:rsidRPr="00A03CEE" w:rsidRDefault="00A55E49" w:rsidP="00A55E49">
      <w:pPr>
        <w:numPr>
          <w:ilvl w:val="0"/>
          <w:numId w:val="4"/>
        </w:numPr>
        <w:spacing w:line="360" w:lineRule="auto"/>
        <w:jc w:val="both"/>
        <w:rPr>
          <w:rFonts w:ascii="Times New Roman" w:hAnsi="Times New Roman"/>
          <w:b/>
          <w:sz w:val="24"/>
          <w:szCs w:val="24"/>
        </w:rPr>
      </w:pPr>
      <w:r w:rsidRPr="00A03CEE">
        <w:rPr>
          <w:rFonts w:ascii="Times New Roman" w:hAnsi="Times New Roman"/>
          <w:b/>
          <w:sz w:val="24"/>
          <w:szCs w:val="24"/>
        </w:rPr>
        <w:t>Le pouvoir de présenter une réclamation internationale</w:t>
      </w:r>
    </w:p>
    <w:p w14:paraId="108CE9E9" w14:textId="77777777" w:rsidR="00A55E49" w:rsidRPr="00A03CEE" w:rsidRDefault="00A55E49" w:rsidP="00A55E49">
      <w:pPr>
        <w:spacing w:line="360" w:lineRule="auto"/>
        <w:jc w:val="both"/>
        <w:rPr>
          <w:rFonts w:ascii="Times New Roman" w:hAnsi="Times New Roman"/>
          <w:sz w:val="24"/>
          <w:szCs w:val="24"/>
        </w:rPr>
      </w:pPr>
      <w:r>
        <w:rPr>
          <w:rFonts w:ascii="Times New Roman" w:hAnsi="Times New Roman"/>
          <w:sz w:val="24"/>
          <w:szCs w:val="24"/>
        </w:rPr>
        <w:t xml:space="preserve">  </w:t>
      </w:r>
      <w:r w:rsidRPr="00A03CEE">
        <w:rPr>
          <w:rFonts w:ascii="Times New Roman" w:hAnsi="Times New Roman"/>
          <w:sz w:val="24"/>
          <w:szCs w:val="24"/>
        </w:rPr>
        <w:t xml:space="preserve">Lorsqu’un dommage lui a été causé, l’Etat peut saisir une juridiction internationale. Il peut aussi être attrait devant les juridictions internationales. </w:t>
      </w:r>
    </w:p>
    <w:p w14:paraId="08F65BB3" w14:textId="77777777" w:rsidR="00A55E49" w:rsidRPr="00A03CEE" w:rsidRDefault="00A55E49" w:rsidP="00A55E49">
      <w:pPr>
        <w:numPr>
          <w:ilvl w:val="0"/>
          <w:numId w:val="4"/>
        </w:numPr>
        <w:spacing w:line="360" w:lineRule="auto"/>
        <w:jc w:val="both"/>
        <w:rPr>
          <w:rFonts w:ascii="Times New Roman" w:hAnsi="Times New Roman"/>
          <w:b/>
          <w:sz w:val="24"/>
          <w:szCs w:val="24"/>
        </w:rPr>
      </w:pPr>
      <w:r w:rsidRPr="00A03CEE">
        <w:rPr>
          <w:rFonts w:ascii="Times New Roman" w:hAnsi="Times New Roman"/>
          <w:b/>
          <w:sz w:val="24"/>
          <w:szCs w:val="24"/>
        </w:rPr>
        <w:t>Le droit d’user de la contrainte</w:t>
      </w:r>
    </w:p>
    <w:p w14:paraId="6E28A383" w14:textId="77777777" w:rsidR="00A55E49" w:rsidRPr="00A03CEE" w:rsidRDefault="00A55E49" w:rsidP="00A55E49">
      <w:pPr>
        <w:spacing w:line="360" w:lineRule="auto"/>
        <w:jc w:val="both"/>
        <w:rPr>
          <w:rFonts w:ascii="Times New Roman" w:hAnsi="Times New Roman"/>
          <w:sz w:val="24"/>
          <w:szCs w:val="24"/>
        </w:rPr>
      </w:pPr>
      <w:r>
        <w:rPr>
          <w:rFonts w:ascii="Times New Roman" w:hAnsi="Times New Roman"/>
          <w:sz w:val="24"/>
          <w:szCs w:val="24"/>
        </w:rPr>
        <w:t xml:space="preserve">    </w:t>
      </w:r>
      <w:r w:rsidRPr="00A03CEE">
        <w:rPr>
          <w:rFonts w:ascii="Times New Roman" w:hAnsi="Times New Roman"/>
          <w:sz w:val="24"/>
          <w:szCs w:val="24"/>
        </w:rPr>
        <w:t xml:space="preserve">Le recours à la force dans les relations internationales est clairement prohibé par le droit international (art. 2 de la Charte de l’ONU). Mais la pratique y apporte un démenti. Par exemple, les USA ont en 1986 bombardé la capitale libyenne. </w:t>
      </w:r>
    </w:p>
    <w:p w14:paraId="2815CF5A" w14:textId="77777777" w:rsidR="00A55E49" w:rsidRPr="00A03CEE" w:rsidRDefault="00A55E49" w:rsidP="00A55E49">
      <w:pPr>
        <w:spacing w:line="360" w:lineRule="auto"/>
        <w:jc w:val="both"/>
        <w:rPr>
          <w:rFonts w:ascii="Times New Roman" w:hAnsi="Times New Roman"/>
          <w:sz w:val="24"/>
          <w:szCs w:val="24"/>
        </w:rPr>
      </w:pPr>
      <w:r w:rsidRPr="00A03CEE">
        <w:rPr>
          <w:rFonts w:ascii="Times New Roman" w:hAnsi="Times New Roman"/>
          <w:sz w:val="24"/>
          <w:szCs w:val="24"/>
        </w:rPr>
        <w:t xml:space="preserve">Après avoir étudié les conditions d’existence et les caractéristiques de l’Etat, intéressons-nous à la question de sa reconnaissance.  </w:t>
      </w:r>
    </w:p>
    <w:p w14:paraId="67C085C9" w14:textId="77777777" w:rsidR="00A55E49" w:rsidRPr="00A03CEE" w:rsidRDefault="00A55E49" w:rsidP="00A55E49">
      <w:pPr>
        <w:spacing w:line="360" w:lineRule="auto"/>
        <w:jc w:val="both"/>
        <w:rPr>
          <w:rFonts w:ascii="Times New Roman" w:hAnsi="Times New Roman"/>
          <w:b/>
          <w:sz w:val="24"/>
          <w:szCs w:val="24"/>
        </w:rPr>
      </w:pPr>
      <w:r>
        <w:rPr>
          <w:rFonts w:ascii="Times New Roman" w:hAnsi="Times New Roman"/>
          <w:b/>
          <w:sz w:val="24"/>
          <w:szCs w:val="24"/>
        </w:rPr>
        <w:t>Paragraphe III :</w:t>
      </w:r>
      <w:r w:rsidRPr="00A03CEE">
        <w:rPr>
          <w:rFonts w:ascii="Times New Roman" w:hAnsi="Times New Roman"/>
          <w:b/>
          <w:sz w:val="24"/>
          <w:szCs w:val="24"/>
        </w:rPr>
        <w:t xml:space="preserve"> La reconnaissance de l’Etat </w:t>
      </w:r>
    </w:p>
    <w:p w14:paraId="5FD964E8" w14:textId="77777777" w:rsidR="00A55E49" w:rsidRPr="00A03CEE" w:rsidRDefault="00A55E49" w:rsidP="00A55E49">
      <w:pPr>
        <w:spacing w:line="360" w:lineRule="auto"/>
        <w:jc w:val="both"/>
        <w:rPr>
          <w:rFonts w:ascii="Times New Roman" w:hAnsi="Times New Roman"/>
          <w:sz w:val="24"/>
          <w:szCs w:val="24"/>
        </w:rPr>
      </w:pPr>
      <w:r w:rsidRPr="00A03CEE">
        <w:rPr>
          <w:rFonts w:ascii="Times New Roman" w:hAnsi="Times New Roman"/>
          <w:sz w:val="24"/>
          <w:szCs w:val="24"/>
        </w:rPr>
        <w:t>« La reconnaissance est l’acte juridique unilatéral par lequel un Etat atteste l’existence à son égard d’une situation de fait et s’engage à en tirer les conséquences que le droit attache à cette existence »</w:t>
      </w:r>
      <w:r w:rsidRPr="00A03CEE">
        <w:rPr>
          <w:rStyle w:val="Appelnotedebasdep"/>
          <w:rFonts w:ascii="Times New Roman" w:hAnsi="Times New Roman"/>
          <w:sz w:val="24"/>
          <w:szCs w:val="24"/>
        </w:rPr>
        <w:footnoteReference w:id="28"/>
      </w:r>
      <w:r w:rsidRPr="00A03CEE">
        <w:rPr>
          <w:rFonts w:ascii="Times New Roman" w:hAnsi="Times New Roman"/>
          <w:sz w:val="24"/>
          <w:szCs w:val="24"/>
        </w:rPr>
        <w:t>. Il s’agit ainsi d’un acte unilatéral discrétionnaire par lequel un Etat prend acte d’une situation ou d’un fait, qui traduit l’existence d’un Etat, et dont il devra tenir compte dans les relations internationales.</w:t>
      </w:r>
    </w:p>
    <w:p w14:paraId="3200FFE9" w14:textId="77777777" w:rsidR="00A55E49" w:rsidRPr="00A03CEE" w:rsidRDefault="00A55E49" w:rsidP="00A55E49">
      <w:pPr>
        <w:spacing w:line="360" w:lineRule="auto"/>
        <w:jc w:val="both"/>
        <w:rPr>
          <w:rFonts w:ascii="Times New Roman" w:hAnsi="Times New Roman"/>
          <w:sz w:val="24"/>
          <w:szCs w:val="24"/>
        </w:rPr>
      </w:pPr>
      <w:r w:rsidRPr="00A03CEE">
        <w:rPr>
          <w:rFonts w:ascii="Times New Roman" w:hAnsi="Times New Roman"/>
          <w:sz w:val="24"/>
          <w:szCs w:val="24"/>
        </w:rPr>
        <w:t xml:space="preserve">De ce qui précède, doit-on considérer la reconnaissance comme un élément supplémentaire constitutif de l’Etat comme ont pu le penser certains auteurs comme les </w:t>
      </w:r>
      <w:proofErr w:type="gramStart"/>
      <w:r w:rsidRPr="00A03CEE">
        <w:rPr>
          <w:rFonts w:ascii="Times New Roman" w:hAnsi="Times New Roman"/>
          <w:sz w:val="24"/>
          <w:szCs w:val="24"/>
        </w:rPr>
        <w:t>italiens</w:t>
      </w:r>
      <w:proofErr w:type="gramEnd"/>
      <w:r w:rsidRPr="00A03CEE">
        <w:rPr>
          <w:rFonts w:ascii="Times New Roman" w:hAnsi="Times New Roman"/>
          <w:sz w:val="24"/>
          <w:szCs w:val="24"/>
        </w:rPr>
        <w:t xml:space="preserve"> </w:t>
      </w:r>
      <w:proofErr w:type="spellStart"/>
      <w:r w:rsidRPr="00A03CEE">
        <w:rPr>
          <w:rFonts w:ascii="Times New Roman" w:hAnsi="Times New Roman"/>
          <w:sz w:val="24"/>
          <w:szCs w:val="24"/>
        </w:rPr>
        <w:t>Anziloti</w:t>
      </w:r>
      <w:proofErr w:type="spellEnd"/>
      <w:r w:rsidRPr="00A03CEE">
        <w:rPr>
          <w:rFonts w:ascii="Times New Roman" w:hAnsi="Times New Roman"/>
          <w:sz w:val="24"/>
          <w:szCs w:val="24"/>
        </w:rPr>
        <w:t xml:space="preserve"> et </w:t>
      </w:r>
      <w:proofErr w:type="spellStart"/>
      <w:r w:rsidRPr="00A03CEE">
        <w:rPr>
          <w:rFonts w:ascii="Times New Roman" w:hAnsi="Times New Roman"/>
          <w:sz w:val="24"/>
          <w:szCs w:val="24"/>
        </w:rPr>
        <w:t>Cavaglieri</w:t>
      </w:r>
      <w:proofErr w:type="spellEnd"/>
      <w:r w:rsidRPr="00A03CEE">
        <w:rPr>
          <w:rFonts w:ascii="Times New Roman" w:hAnsi="Times New Roman"/>
          <w:sz w:val="24"/>
          <w:szCs w:val="24"/>
        </w:rPr>
        <w:t xml:space="preserve"> ou les </w:t>
      </w:r>
      <w:proofErr w:type="gramStart"/>
      <w:r w:rsidRPr="00A03CEE">
        <w:rPr>
          <w:rFonts w:ascii="Times New Roman" w:hAnsi="Times New Roman"/>
          <w:sz w:val="24"/>
          <w:szCs w:val="24"/>
        </w:rPr>
        <w:t>allemands</w:t>
      </w:r>
      <w:proofErr w:type="gramEnd"/>
      <w:r w:rsidRPr="00A03CEE">
        <w:rPr>
          <w:rFonts w:ascii="Times New Roman" w:hAnsi="Times New Roman"/>
          <w:sz w:val="24"/>
          <w:szCs w:val="24"/>
        </w:rPr>
        <w:t xml:space="preserve"> </w:t>
      </w:r>
      <w:proofErr w:type="spellStart"/>
      <w:r w:rsidRPr="00A03CEE">
        <w:rPr>
          <w:rFonts w:ascii="Times New Roman" w:hAnsi="Times New Roman"/>
          <w:sz w:val="24"/>
          <w:szCs w:val="24"/>
        </w:rPr>
        <w:t>Triepel</w:t>
      </w:r>
      <w:proofErr w:type="spellEnd"/>
      <w:r w:rsidRPr="00A03CEE">
        <w:rPr>
          <w:rFonts w:ascii="Times New Roman" w:hAnsi="Times New Roman"/>
          <w:sz w:val="24"/>
          <w:szCs w:val="24"/>
        </w:rPr>
        <w:t xml:space="preserve"> et Jellinek ? Pour y répondre, nous nous intéresserons à la forme et à la perception de la reconnaissance.</w:t>
      </w:r>
    </w:p>
    <w:p w14:paraId="6B664923" w14:textId="77777777" w:rsidR="00A55E49" w:rsidRPr="00A03CEE" w:rsidRDefault="00A55E49" w:rsidP="00A55E49">
      <w:pPr>
        <w:spacing w:line="360" w:lineRule="auto"/>
        <w:jc w:val="both"/>
        <w:rPr>
          <w:rFonts w:ascii="Times New Roman" w:hAnsi="Times New Roman"/>
          <w:b/>
          <w:sz w:val="24"/>
          <w:szCs w:val="24"/>
        </w:rPr>
      </w:pPr>
      <w:r>
        <w:rPr>
          <w:rFonts w:ascii="Times New Roman" w:hAnsi="Times New Roman"/>
          <w:b/>
          <w:sz w:val="24"/>
          <w:szCs w:val="24"/>
        </w:rPr>
        <w:t>I.</w:t>
      </w:r>
      <w:r w:rsidRPr="00A03CEE">
        <w:rPr>
          <w:rFonts w:ascii="Times New Roman" w:hAnsi="Times New Roman"/>
          <w:b/>
          <w:sz w:val="24"/>
          <w:szCs w:val="24"/>
        </w:rPr>
        <w:t xml:space="preserve"> Les éléments formels de la reconnaissance</w:t>
      </w:r>
    </w:p>
    <w:p w14:paraId="4E10A618" w14:textId="77777777" w:rsidR="00A55E49" w:rsidRPr="00A03CEE" w:rsidRDefault="00A55E49" w:rsidP="00A55E49">
      <w:pPr>
        <w:spacing w:line="360" w:lineRule="auto"/>
        <w:jc w:val="both"/>
        <w:rPr>
          <w:rFonts w:ascii="Times New Roman" w:hAnsi="Times New Roman"/>
          <w:sz w:val="24"/>
          <w:szCs w:val="24"/>
        </w:rPr>
      </w:pPr>
      <w:r>
        <w:rPr>
          <w:rFonts w:ascii="Times New Roman" w:hAnsi="Times New Roman"/>
          <w:sz w:val="24"/>
          <w:szCs w:val="24"/>
        </w:rPr>
        <w:lastRenderedPageBreak/>
        <w:t xml:space="preserve">     </w:t>
      </w:r>
      <w:r w:rsidRPr="00A03CEE">
        <w:rPr>
          <w:rFonts w:ascii="Times New Roman" w:hAnsi="Times New Roman"/>
          <w:sz w:val="24"/>
          <w:szCs w:val="24"/>
        </w:rPr>
        <w:t xml:space="preserve">Il s’agit tout d’abord de l’auteur de la reconnaissance : un Etat ou une organisation internationale. </w:t>
      </w:r>
    </w:p>
    <w:p w14:paraId="6FC0D396" w14:textId="77777777" w:rsidR="00A55E49" w:rsidRPr="00A03CEE" w:rsidRDefault="00A55E49" w:rsidP="00A55E49">
      <w:pPr>
        <w:spacing w:line="360" w:lineRule="auto"/>
        <w:jc w:val="both"/>
        <w:rPr>
          <w:rFonts w:ascii="Times New Roman" w:hAnsi="Times New Roman"/>
          <w:sz w:val="24"/>
          <w:szCs w:val="24"/>
        </w:rPr>
      </w:pPr>
      <w:r>
        <w:rPr>
          <w:rFonts w:ascii="Times New Roman" w:hAnsi="Times New Roman"/>
          <w:sz w:val="24"/>
          <w:szCs w:val="24"/>
        </w:rPr>
        <w:t xml:space="preserve">    </w:t>
      </w:r>
      <w:r w:rsidRPr="00A03CEE">
        <w:rPr>
          <w:rFonts w:ascii="Times New Roman" w:hAnsi="Times New Roman"/>
          <w:sz w:val="24"/>
          <w:szCs w:val="24"/>
        </w:rPr>
        <w:t xml:space="preserve">Il s’agit ensuite des caractères de la reconnaissance : elle peut être expresse (une déclaration verbale ou écrite) ; elle peut être tacite ou implicite (entretenir des relations avec le nouvel Etat sans faire de déclaration). </w:t>
      </w:r>
    </w:p>
    <w:p w14:paraId="53821EC5" w14:textId="77777777" w:rsidR="00A55E49" w:rsidRPr="00A03CEE" w:rsidRDefault="00A55E49" w:rsidP="00A55E49">
      <w:pPr>
        <w:spacing w:line="360" w:lineRule="auto"/>
        <w:jc w:val="both"/>
        <w:rPr>
          <w:rFonts w:ascii="Times New Roman" w:hAnsi="Times New Roman"/>
          <w:sz w:val="24"/>
          <w:szCs w:val="24"/>
        </w:rPr>
      </w:pPr>
      <w:r>
        <w:rPr>
          <w:rFonts w:ascii="Times New Roman" w:hAnsi="Times New Roman"/>
          <w:sz w:val="24"/>
          <w:szCs w:val="24"/>
        </w:rPr>
        <w:t xml:space="preserve">   </w:t>
      </w:r>
      <w:r w:rsidRPr="00A03CEE">
        <w:rPr>
          <w:rFonts w:ascii="Times New Roman" w:hAnsi="Times New Roman"/>
          <w:sz w:val="24"/>
          <w:szCs w:val="24"/>
        </w:rPr>
        <w:t xml:space="preserve">Il s’agit enfin de la nature de la reconnaissance : elle est faite soit </w:t>
      </w:r>
      <w:r w:rsidRPr="00A03CEE">
        <w:rPr>
          <w:rFonts w:ascii="Times New Roman" w:hAnsi="Times New Roman"/>
          <w:i/>
          <w:sz w:val="24"/>
          <w:szCs w:val="24"/>
        </w:rPr>
        <w:t>de jure</w:t>
      </w:r>
      <w:r w:rsidRPr="00A03CEE">
        <w:rPr>
          <w:rFonts w:ascii="Times New Roman" w:hAnsi="Times New Roman"/>
          <w:sz w:val="24"/>
          <w:szCs w:val="24"/>
        </w:rPr>
        <w:t xml:space="preserve"> (dotée d’une valeur juridique, elle est pleine et entière, définitive et irrévocable. Elle a force obligatoire dans les relations des Etats concernés) ; soit </w:t>
      </w:r>
      <w:r w:rsidRPr="00A03CEE">
        <w:rPr>
          <w:rFonts w:ascii="Times New Roman" w:hAnsi="Times New Roman"/>
          <w:i/>
          <w:sz w:val="24"/>
          <w:szCs w:val="24"/>
        </w:rPr>
        <w:t>de facto</w:t>
      </w:r>
      <w:r w:rsidRPr="00A03CEE">
        <w:rPr>
          <w:rFonts w:ascii="Times New Roman" w:hAnsi="Times New Roman"/>
          <w:sz w:val="24"/>
          <w:szCs w:val="24"/>
        </w:rPr>
        <w:t xml:space="preserve"> (à travers les faits ou le comportement. Elle est provisoire et révocable. Elle n’a pas force obligatoire).</w:t>
      </w:r>
    </w:p>
    <w:p w14:paraId="41E36061" w14:textId="77777777" w:rsidR="00A55E49" w:rsidRPr="00A03CEE" w:rsidRDefault="00A55E49" w:rsidP="00A55E49">
      <w:pPr>
        <w:spacing w:line="360" w:lineRule="auto"/>
        <w:jc w:val="both"/>
        <w:rPr>
          <w:rFonts w:ascii="Times New Roman" w:hAnsi="Times New Roman"/>
          <w:sz w:val="24"/>
          <w:szCs w:val="24"/>
        </w:rPr>
      </w:pPr>
      <w:r w:rsidRPr="00A03CEE">
        <w:rPr>
          <w:rFonts w:ascii="Times New Roman" w:hAnsi="Times New Roman"/>
          <w:sz w:val="24"/>
          <w:szCs w:val="24"/>
        </w:rPr>
        <w:t>Comment la reconnaissance est-elle appréciée ?</w:t>
      </w:r>
    </w:p>
    <w:p w14:paraId="4AF549E5" w14:textId="77777777" w:rsidR="00A55E49" w:rsidRPr="00A03CEE" w:rsidRDefault="00A55E49" w:rsidP="00A55E49">
      <w:pPr>
        <w:spacing w:line="360" w:lineRule="auto"/>
        <w:jc w:val="both"/>
        <w:rPr>
          <w:rFonts w:ascii="Times New Roman" w:hAnsi="Times New Roman"/>
          <w:b/>
          <w:sz w:val="24"/>
          <w:szCs w:val="24"/>
        </w:rPr>
      </w:pPr>
      <w:r>
        <w:rPr>
          <w:rFonts w:ascii="Times New Roman" w:hAnsi="Times New Roman"/>
          <w:b/>
          <w:sz w:val="24"/>
          <w:szCs w:val="24"/>
        </w:rPr>
        <w:t>II.</w:t>
      </w:r>
      <w:r w:rsidRPr="00A03CEE">
        <w:rPr>
          <w:rFonts w:ascii="Times New Roman" w:hAnsi="Times New Roman"/>
          <w:b/>
          <w:sz w:val="24"/>
          <w:szCs w:val="24"/>
        </w:rPr>
        <w:t xml:space="preserve"> L’appréciation de la reconnaissance : portée et illustration</w:t>
      </w:r>
    </w:p>
    <w:p w14:paraId="3F20BC2B" w14:textId="77777777" w:rsidR="00A55E49" w:rsidRPr="00A03CEE" w:rsidRDefault="00A55E49" w:rsidP="00A55E49">
      <w:pPr>
        <w:spacing w:line="360" w:lineRule="auto"/>
        <w:jc w:val="both"/>
        <w:rPr>
          <w:rFonts w:ascii="Times New Roman" w:hAnsi="Times New Roman"/>
          <w:sz w:val="24"/>
          <w:szCs w:val="24"/>
        </w:rPr>
      </w:pPr>
      <w:r w:rsidRPr="00A03CEE">
        <w:rPr>
          <w:rFonts w:ascii="Times New Roman" w:hAnsi="Times New Roman"/>
          <w:sz w:val="24"/>
          <w:szCs w:val="24"/>
        </w:rPr>
        <w:t xml:space="preserve">Elle traduit en réalité la question de la portée de la reconnaissance à propos de laquelle se départagent deux points de vue (1). La question palestinienne est révélatrice de ces positions (2). </w:t>
      </w:r>
    </w:p>
    <w:p w14:paraId="65DF9FA0" w14:textId="77777777" w:rsidR="00A55E49" w:rsidRPr="00A03CEE" w:rsidRDefault="00A55E49" w:rsidP="00A55E49">
      <w:pPr>
        <w:spacing w:line="360" w:lineRule="auto"/>
        <w:jc w:val="both"/>
        <w:rPr>
          <w:rFonts w:ascii="Times New Roman" w:hAnsi="Times New Roman"/>
          <w:b/>
          <w:sz w:val="24"/>
          <w:szCs w:val="24"/>
        </w:rPr>
      </w:pPr>
      <w:r>
        <w:rPr>
          <w:rFonts w:ascii="Times New Roman" w:hAnsi="Times New Roman"/>
          <w:b/>
          <w:sz w:val="24"/>
          <w:szCs w:val="24"/>
        </w:rPr>
        <w:t>A.</w:t>
      </w:r>
      <w:r w:rsidRPr="00A03CEE">
        <w:rPr>
          <w:rFonts w:ascii="Times New Roman" w:hAnsi="Times New Roman"/>
          <w:b/>
          <w:sz w:val="24"/>
          <w:szCs w:val="24"/>
        </w:rPr>
        <w:t xml:space="preserve"> La portée de la reconnaissance</w:t>
      </w:r>
    </w:p>
    <w:p w14:paraId="4EFBAD71" w14:textId="77777777" w:rsidR="00A55E49" w:rsidRPr="00A03CEE" w:rsidRDefault="00A55E49" w:rsidP="00A55E49">
      <w:pPr>
        <w:spacing w:line="360" w:lineRule="auto"/>
        <w:jc w:val="both"/>
        <w:rPr>
          <w:rFonts w:ascii="Times New Roman" w:hAnsi="Times New Roman"/>
          <w:sz w:val="24"/>
          <w:szCs w:val="24"/>
        </w:rPr>
      </w:pPr>
      <w:r>
        <w:rPr>
          <w:rFonts w:ascii="Times New Roman" w:hAnsi="Times New Roman"/>
          <w:sz w:val="24"/>
          <w:szCs w:val="24"/>
        </w:rPr>
        <w:t xml:space="preserve">   </w:t>
      </w:r>
      <w:r w:rsidRPr="00A03CEE">
        <w:rPr>
          <w:rFonts w:ascii="Times New Roman" w:hAnsi="Times New Roman"/>
          <w:sz w:val="24"/>
          <w:szCs w:val="24"/>
        </w:rPr>
        <w:t xml:space="preserve">D’une part, pour les auteurs comme Cavaglieri, </w:t>
      </w:r>
      <w:proofErr w:type="spellStart"/>
      <w:r w:rsidRPr="00A03CEE">
        <w:rPr>
          <w:rFonts w:ascii="Times New Roman" w:hAnsi="Times New Roman"/>
          <w:sz w:val="24"/>
          <w:szCs w:val="24"/>
        </w:rPr>
        <w:t>Triepel</w:t>
      </w:r>
      <w:proofErr w:type="spellEnd"/>
      <w:r w:rsidRPr="00A03CEE">
        <w:rPr>
          <w:rFonts w:ascii="Times New Roman" w:hAnsi="Times New Roman"/>
          <w:sz w:val="24"/>
          <w:szCs w:val="24"/>
        </w:rPr>
        <w:t xml:space="preserve"> et Jellinek, la reconnaissance est une condition d’existence de l’Etat au même titre que la population, le territoire et le pouvoir politique. Tout Etat qui n’est point reconnu par les autres ne peut être accepté comme Etat. Cette position est inadmissible d’autant qu’elle semble consacrer une vision subjective de la notion d’Etat. </w:t>
      </w:r>
    </w:p>
    <w:p w14:paraId="2839AC9B" w14:textId="77777777" w:rsidR="00A55E49" w:rsidRPr="00A03CEE" w:rsidRDefault="00A55E49" w:rsidP="00A55E49">
      <w:pPr>
        <w:spacing w:line="360" w:lineRule="auto"/>
        <w:jc w:val="both"/>
        <w:rPr>
          <w:rFonts w:ascii="Times New Roman" w:hAnsi="Times New Roman"/>
          <w:sz w:val="24"/>
          <w:szCs w:val="24"/>
        </w:rPr>
      </w:pPr>
      <w:r>
        <w:rPr>
          <w:rFonts w:ascii="Times New Roman" w:hAnsi="Times New Roman"/>
          <w:sz w:val="24"/>
          <w:szCs w:val="24"/>
        </w:rPr>
        <w:t xml:space="preserve">     </w:t>
      </w:r>
      <w:r w:rsidRPr="00A03CEE">
        <w:rPr>
          <w:rFonts w:ascii="Times New Roman" w:hAnsi="Times New Roman"/>
          <w:sz w:val="24"/>
          <w:szCs w:val="24"/>
        </w:rPr>
        <w:t xml:space="preserve">A l’inverse, d’autre part, la reconnaissance n’est pas perçue par d’autres auteurs comme un élément purement subjectif, si bien qu’il ne revient pas aux autres Etats de décider de l’existence d’un autre Etat. Une décision du tribunal arbitral mixte de 1919 relative à la Pologne est très éclairante : « L’Etat existe par lui-même et la reconnaissance n’est rien d’autre que la déclaration de son existence reconnue par les Etats dont elle émane. » La reconnaissance a très clairement un effet purement déclaratif. Il en résulte que le défaut de reconnaissance ne peut priver un Etat de son existence. Aurait-on pu imaginer comme ce fut le cas à l’égard de l’URSS et de la Chine populaire qu’il ne s’agissait pas d’Etats puisqu’ils n’avaient pas été reconnus par certains Etats. En outre, une anticipation de reconnaissance n’a également aucun effet : l’on se souvient que la Côte d’Ivoire avait de manière prématurée et anticipée reconnu la province </w:t>
      </w:r>
      <w:r w:rsidRPr="00A03CEE">
        <w:rPr>
          <w:rFonts w:ascii="Times New Roman" w:hAnsi="Times New Roman"/>
          <w:sz w:val="24"/>
          <w:szCs w:val="24"/>
        </w:rPr>
        <w:lastRenderedPageBreak/>
        <w:t xml:space="preserve">nigériane sécessionniste du Biafra (1967-1970) comme Etat. Le Biafra ne se constituera pas en Etat. </w:t>
      </w:r>
    </w:p>
    <w:p w14:paraId="479F8702" w14:textId="77777777" w:rsidR="00A55E49" w:rsidRPr="00A03CEE" w:rsidRDefault="00A55E49" w:rsidP="00A55E49">
      <w:pPr>
        <w:spacing w:line="360" w:lineRule="auto"/>
        <w:jc w:val="both"/>
        <w:rPr>
          <w:rFonts w:ascii="Times New Roman" w:hAnsi="Times New Roman"/>
          <w:sz w:val="24"/>
          <w:szCs w:val="24"/>
        </w:rPr>
      </w:pPr>
      <w:r w:rsidRPr="00A03CEE">
        <w:rPr>
          <w:rFonts w:ascii="Times New Roman" w:hAnsi="Times New Roman"/>
          <w:sz w:val="24"/>
          <w:szCs w:val="24"/>
        </w:rPr>
        <w:t xml:space="preserve">Il est ainsi de retenir que la reconnaissance n’est pas une condition d’existence de l’Etat comme le révèle la question de l’existence d’un Etat palestinien.          </w:t>
      </w:r>
    </w:p>
    <w:p w14:paraId="4E0B2341" w14:textId="77777777" w:rsidR="00A55E49" w:rsidRPr="00A03CEE" w:rsidRDefault="00A55E49" w:rsidP="00A55E49">
      <w:pPr>
        <w:spacing w:line="360" w:lineRule="auto"/>
        <w:jc w:val="both"/>
        <w:rPr>
          <w:rFonts w:ascii="Times New Roman" w:hAnsi="Times New Roman"/>
          <w:b/>
          <w:sz w:val="24"/>
          <w:szCs w:val="24"/>
        </w:rPr>
      </w:pPr>
      <w:r>
        <w:rPr>
          <w:rFonts w:ascii="Times New Roman" w:hAnsi="Times New Roman"/>
          <w:b/>
          <w:sz w:val="24"/>
          <w:szCs w:val="24"/>
        </w:rPr>
        <w:t xml:space="preserve">B. </w:t>
      </w:r>
      <w:r w:rsidRPr="00A03CEE">
        <w:rPr>
          <w:rFonts w:ascii="Times New Roman" w:hAnsi="Times New Roman"/>
          <w:b/>
          <w:sz w:val="24"/>
          <w:szCs w:val="24"/>
        </w:rPr>
        <w:t xml:space="preserve">La question de l’existence d’un Etat palestinien </w:t>
      </w:r>
    </w:p>
    <w:p w14:paraId="1C54520D" w14:textId="77777777" w:rsidR="00A55E49" w:rsidRPr="00A03CEE" w:rsidRDefault="00A55E49" w:rsidP="00A55E49">
      <w:pPr>
        <w:spacing w:line="360" w:lineRule="auto"/>
        <w:jc w:val="both"/>
        <w:rPr>
          <w:rFonts w:ascii="Times New Roman" w:hAnsi="Times New Roman"/>
          <w:sz w:val="24"/>
          <w:szCs w:val="24"/>
        </w:rPr>
      </w:pPr>
      <w:r>
        <w:rPr>
          <w:rFonts w:ascii="Times New Roman" w:hAnsi="Times New Roman"/>
          <w:sz w:val="24"/>
          <w:szCs w:val="24"/>
        </w:rPr>
        <w:t xml:space="preserve">     </w:t>
      </w:r>
      <w:r w:rsidRPr="00A03CEE">
        <w:rPr>
          <w:rFonts w:ascii="Times New Roman" w:hAnsi="Times New Roman"/>
          <w:sz w:val="24"/>
          <w:szCs w:val="24"/>
        </w:rPr>
        <w:t xml:space="preserve">Sont entremêlées à ce propos, les questions de reconnaissance et d’existence de l’Etat palestinien. La Palestine se situe au Moyen-Orient (Asie), avec pour voisins : le Liban et la Syrie au nord ; la mer </w:t>
      </w:r>
      <w:proofErr w:type="gramStart"/>
      <w:r w:rsidRPr="00A03CEE">
        <w:rPr>
          <w:rFonts w:ascii="Times New Roman" w:hAnsi="Times New Roman"/>
          <w:sz w:val="24"/>
          <w:szCs w:val="24"/>
        </w:rPr>
        <w:t>rouge</w:t>
      </w:r>
      <w:proofErr w:type="gramEnd"/>
      <w:r w:rsidRPr="00A03CEE">
        <w:rPr>
          <w:rFonts w:ascii="Times New Roman" w:hAnsi="Times New Roman"/>
          <w:sz w:val="24"/>
          <w:szCs w:val="24"/>
        </w:rPr>
        <w:t xml:space="preserve"> au sud ; la Jordanie à l’est ; à l’ouest la mer </w:t>
      </w:r>
      <w:proofErr w:type="gramStart"/>
      <w:r w:rsidRPr="00A03CEE">
        <w:rPr>
          <w:rFonts w:ascii="Times New Roman" w:hAnsi="Times New Roman"/>
          <w:sz w:val="24"/>
          <w:szCs w:val="24"/>
        </w:rPr>
        <w:t>méditerranée</w:t>
      </w:r>
      <w:proofErr w:type="gramEnd"/>
      <w:r w:rsidRPr="00A03CEE">
        <w:rPr>
          <w:rFonts w:ascii="Times New Roman" w:hAnsi="Times New Roman"/>
          <w:sz w:val="24"/>
          <w:szCs w:val="24"/>
        </w:rPr>
        <w:t xml:space="preserve"> et l’Egypte. A la demande de la Grande-Bretagne, l’Onu procéda le 29 novembre 1947 au partage de la Palestine en un Etat juif (Israël) et un Etat arabe (Palestine). </w:t>
      </w:r>
    </w:p>
    <w:p w14:paraId="69DC839A" w14:textId="77777777" w:rsidR="00A55E49" w:rsidRPr="00A03CEE" w:rsidRDefault="00A55E49" w:rsidP="00A55E49">
      <w:pPr>
        <w:spacing w:line="360" w:lineRule="auto"/>
        <w:jc w:val="both"/>
        <w:rPr>
          <w:rFonts w:ascii="Times New Roman" w:hAnsi="Times New Roman"/>
          <w:sz w:val="24"/>
          <w:szCs w:val="24"/>
        </w:rPr>
      </w:pPr>
      <w:r w:rsidRPr="00A03CEE">
        <w:rPr>
          <w:rFonts w:ascii="Times New Roman" w:hAnsi="Times New Roman"/>
          <w:sz w:val="24"/>
          <w:szCs w:val="24"/>
        </w:rPr>
        <w:t>Quelle réponse apporte la conception de l’Etat en droit international à la question de l’existence d’un Etat palestinien et sa reconnaissance ?</w:t>
      </w:r>
    </w:p>
    <w:p w14:paraId="4BB1A4B4" w14:textId="77777777" w:rsidR="00A55E49" w:rsidRPr="00A03CEE" w:rsidRDefault="00A55E49" w:rsidP="00A55E49">
      <w:pPr>
        <w:numPr>
          <w:ilvl w:val="0"/>
          <w:numId w:val="5"/>
        </w:numPr>
        <w:spacing w:line="360" w:lineRule="auto"/>
        <w:jc w:val="both"/>
        <w:rPr>
          <w:rFonts w:ascii="Times New Roman" w:hAnsi="Times New Roman"/>
          <w:b/>
          <w:sz w:val="24"/>
          <w:szCs w:val="24"/>
        </w:rPr>
      </w:pPr>
      <w:r w:rsidRPr="00A03CEE">
        <w:rPr>
          <w:rFonts w:ascii="Times New Roman" w:hAnsi="Times New Roman"/>
          <w:b/>
          <w:sz w:val="24"/>
          <w:szCs w:val="24"/>
        </w:rPr>
        <w:t>De l’existence d’un territoire palestinien</w:t>
      </w:r>
    </w:p>
    <w:p w14:paraId="79086D98" w14:textId="77777777" w:rsidR="00A55E49" w:rsidRPr="00A03CEE" w:rsidRDefault="00A55E49" w:rsidP="00A55E49">
      <w:pPr>
        <w:spacing w:line="360" w:lineRule="auto"/>
        <w:jc w:val="both"/>
        <w:rPr>
          <w:rFonts w:ascii="Times New Roman" w:hAnsi="Times New Roman"/>
          <w:sz w:val="24"/>
          <w:szCs w:val="24"/>
        </w:rPr>
      </w:pPr>
      <w:r>
        <w:rPr>
          <w:rFonts w:ascii="Times New Roman" w:hAnsi="Times New Roman"/>
          <w:sz w:val="24"/>
          <w:szCs w:val="24"/>
        </w:rPr>
        <w:t xml:space="preserve">     </w:t>
      </w:r>
      <w:r w:rsidRPr="00A03CEE">
        <w:rPr>
          <w:rFonts w:ascii="Times New Roman" w:hAnsi="Times New Roman"/>
          <w:sz w:val="24"/>
          <w:szCs w:val="24"/>
        </w:rPr>
        <w:t xml:space="preserve">Le partage du territoire de la Palestine attribua l’Est aux arabes (7/8è du territoire) et l’ouest ainsi que Jérusalem à Israël (1/8è du territoire). Le 14 mai 1948 David Ben Gourion proclama l’indépendance d’Israël. L’opposition des arabes entraina plusieurs guerres : celle de 1948-1949, celle de mai 1967 dites des « six jours » puis celle du Kippour en octobre 1973. Israël en sortit victorieux et annexa le Sinaï, Jérusalem-est, Gaza, la Cisjordanie et les hauteurs de Golan.  Ces occupations furent condamnées par la résolution 242 du 22 novembre 1967 du Conseil de sécurité de l’Onu. Elle exige « le retrait des forces israéliennes des territoires occupés, le respect et la reconnaissance de la souveraineté, de l’intégrité territoriale, de l’indépendance et du droit de vivre en sécurité de chaque Etat de la région ». Le 25 janvier 1980, le Conseil de sécurité de l’ONU condamne les implantations juives en territoire occupé. </w:t>
      </w:r>
    </w:p>
    <w:p w14:paraId="5361691D" w14:textId="77777777" w:rsidR="00A55E49" w:rsidRPr="00A03CEE" w:rsidRDefault="00A55E49" w:rsidP="00A55E49">
      <w:pPr>
        <w:spacing w:line="360" w:lineRule="auto"/>
        <w:jc w:val="both"/>
        <w:rPr>
          <w:rFonts w:ascii="Times New Roman" w:hAnsi="Times New Roman"/>
          <w:sz w:val="24"/>
          <w:szCs w:val="24"/>
        </w:rPr>
      </w:pPr>
      <w:r>
        <w:rPr>
          <w:rFonts w:ascii="Times New Roman" w:hAnsi="Times New Roman"/>
          <w:sz w:val="24"/>
          <w:szCs w:val="24"/>
        </w:rPr>
        <w:t xml:space="preserve">   </w:t>
      </w:r>
      <w:r w:rsidRPr="00A03CEE">
        <w:rPr>
          <w:rFonts w:ascii="Times New Roman" w:hAnsi="Times New Roman"/>
          <w:sz w:val="24"/>
          <w:szCs w:val="24"/>
        </w:rPr>
        <w:t>S’il ressort de la notion de « territoires occupés » qu’un territoire palestinien issu du partage de 1947 existe, il n’en reste pas moins que la revendication par la Palestine d’un territoire avec les limites frontalières de 1967 pose la question cruciale de l’existence d’un territoire palestinien sur lequel vit une population.</w:t>
      </w:r>
    </w:p>
    <w:p w14:paraId="5B0A51FA" w14:textId="77777777" w:rsidR="00A55E49" w:rsidRPr="00A03CEE" w:rsidRDefault="00A55E49" w:rsidP="00A55E49">
      <w:pPr>
        <w:numPr>
          <w:ilvl w:val="0"/>
          <w:numId w:val="5"/>
        </w:numPr>
        <w:spacing w:line="360" w:lineRule="auto"/>
        <w:jc w:val="both"/>
        <w:rPr>
          <w:rFonts w:ascii="Times New Roman" w:hAnsi="Times New Roman"/>
          <w:b/>
          <w:sz w:val="24"/>
          <w:szCs w:val="24"/>
        </w:rPr>
      </w:pPr>
      <w:r w:rsidRPr="00A03CEE">
        <w:rPr>
          <w:rFonts w:ascii="Times New Roman" w:hAnsi="Times New Roman"/>
          <w:b/>
          <w:sz w:val="24"/>
          <w:szCs w:val="24"/>
        </w:rPr>
        <w:t>De l’existence d’une population palestinienne</w:t>
      </w:r>
    </w:p>
    <w:p w14:paraId="35F7D8DC" w14:textId="77777777" w:rsidR="00A55E49" w:rsidRPr="00A03CEE" w:rsidRDefault="00A55E49" w:rsidP="00A55E49">
      <w:pPr>
        <w:spacing w:line="360" w:lineRule="auto"/>
        <w:jc w:val="both"/>
        <w:rPr>
          <w:rFonts w:ascii="Times New Roman" w:hAnsi="Times New Roman"/>
          <w:sz w:val="24"/>
          <w:szCs w:val="24"/>
        </w:rPr>
      </w:pPr>
      <w:r>
        <w:rPr>
          <w:rFonts w:ascii="Times New Roman" w:hAnsi="Times New Roman"/>
          <w:sz w:val="24"/>
          <w:szCs w:val="24"/>
        </w:rPr>
        <w:lastRenderedPageBreak/>
        <w:t xml:space="preserve">    </w:t>
      </w:r>
      <w:r w:rsidRPr="00A03CEE">
        <w:rPr>
          <w:rFonts w:ascii="Times New Roman" w:hAnsi="Times New Roman"/>
          <w:sz w:val="24"/>
          <w:szCs w:val="24"/>
        </w:rPr>
        <w:t xml:space="preserve">En plus des populations restées en territoire palestinien, d’autres sont </w:t>
      </w:r>
      <w:proofErr w:type="spellStart"/>
      <w:r w:rsidRPr="00A03CEE">
        <w:rPr>
          <w:rFonts w:ascii="Times New Roman" w:hAnsi="Times New Roman"/>
          <w:sz w:val="24"/>
          <w:szCs w:val="24"/>
        </w:rPr>
        <w:t>refugiées</w:t>
      </w:r>
      <w:proofErr w:type="spellEnd"/>
      <w:r w:rsidRPr="00A03CEE">
        <w:rPr>
          <w:rFonts w:ascii="Times New Roman" w:hAnsi="Times New Roman"/>
          <w:sz w:val="24"/>
          <w:szCs w:val="24"/>
        </w:rPr>
        <w:t xml:space="preserve"> à l’extérieur. Cette situation ne se s’oppose pas à l’existence d’une population palestinienne. A ces deux éléments que sont le territoire et la population doit être ajouté le pouvoir politique pour qu’existe un Etat.</w:t>
      </w:r>
    </w:p>
    <w:p w14:paraId="00473F20" w14:textId="77777777" w:rsidR="00A55E49" w:rsidRPr="00A03CEE" w:rsidRDefault="00A55E49" w:rsidP="00A55E49">
      <w:pPr>
        <w:numPr>
          <w:ilvl w:val="0"/>
          <w:numId w:val="5"/>
        </w:numPr>
        <w:spacing w:line="360" w:lineRule="auto"/>
        <w:jc w:val="both"/>
        <w:rPr>
          <w:rFonts w:ascii="Times New Roman" w:hAnsi="Times New Roman"/>
          <w:b/>
          <w:sz w:val="24"/>
          <w:szCs w:val="24"/>
        </w:rPr>
      </w:pPr>
      <w:r w:rsidRPr="00A03CEE">
        <w:rPr>
          <w:rFonts w:ascii="Times New Roman" w:hAnsi="Times New Roman"/>
          <w:b/>
          <w:sz w:val="24"/>
          <w:szCs w:val="24"/>
        </w:rPr>
        <w:t>De l’existence d’un gouvernement palestinien</w:t>
      </w:r>
    </w:p>
    <w:p w14:paraId="484D61E0" w14:textId="77777777" w:rsidR="00A55E49" w:rsidRPr="00A03CEE" w:rsidRDefault="00A55E49" w:rsidP="00A55E49">
      <w:pPr>
        <w:spacing w:line="360" w:lineRule="auto"/>
        <w:jc w:val="both"/>
        <w:rPr>
          <w:rFonts w:ascii="Times New Roman" w:hAnsi="Times New Roman"/>
          <w:sz w:val="24"/>
          <w:szCs w:val="24"/>
        </w:rPr>
      </w:pPr>
      <w:r>
        <w:rPr>
          <w:rFonts w:ascii="Times New Roman" w:hAnsi="Times New Roman"/>
          <w:sz w:val="24"/>
          <w:szCs w:val="24"/>
        </w:rPr>
        <w:t xml:space="preserve">    </w:t>
      </w:r>
      <w:r w:rsidRPr="00A03CEE">
        <w:rPr>
          <w:rFonts w:ascii="Times New Roman" w:hAnsi="Times New Roman"/>
          <w:sz w:val="24"/>
          <w:szCs w:val="24"/>
        </w:rPr>
        <w:t xml:space="preserve">Il a fallu attendre janvier 1996 pour voir l’élection d’un président de la Palestine au suffrage universel direct en la personne de Yasser Arafat. La sécurité du territoire était assurée par l’armée et la police. Des tribunaux assuraient la justice. Malgré ces éléments, l’occupation d’une partie du territoire palestinien fait obstacle à l’existence d’un Etat palestinien. De nombreux exemples dénotent </w:t>
      </w:r>
      <w:proofErr w:type="gramStart"/>
      <w:r w:rsidRPr="00A03CEE">
        <w:rPr>
          <w:rFonts w:ascii="Times New Roman" w:hAnsi="Times New Roman"/>
          <w:sz w:val="24"/>
          <w:szCs w:val="24"/>
        </w:rPr>
        <w:t>du</w:t>
      </w:r>
      <w:proofErr w:type="gramEnd"/>
      <w:r w:rsidRPr="00A03CEE">
        <w:rPr>
          <w:rFonts w:ascii="Times New Roman" w:hAnsi="Times New Roman"/>
          <w:sz w:val="24"/>
          <w:szCs w:val="24"/>
        </w:rPr>
        <w:t xml:space="preserve"> manque de pertinence d’un tel argument : l’occupation allemande en France pendant la 2è guerre mondiale ; l’occupation de la bande d’</w:t>
      </w:r>
      <w:proofErr w:type="spellStart"/>
      <w:r w:rsidRPr="00A03CEE">
        <w:rPr>
          <w:rFonts w:ascii="Times New Roman" w:hAnsi="Times New Roman"/>
          <w:sz w:val="24"/>
          <w:szCs w:val="24"/>
        </w:rPr>
        <w:t>Aouzou</w:t>
      </w:r>
      <w:proofErr w:type="spellEnd"/>
      <w:r w:rsidRPr="00A03CEE">
        <w:rPr>
          <w:rFonts w:ascii="Times New Roman" w:hAnsi="Times New Roman"/>
          <w:sz w:val="24"/>
          <w:szCs w:val="24"/>
        </w:rPr>
        <w:t xml:space="preserve"> au Tchad par la Lybie entre 1987 et 1988.</w:t>
      </w:r>
    </w:p>
    <w:p w14:paraId="5BB0B181" w14:textId="77777777" w:rsidR="00A55E49" w:rsidRPr="00A03CEE" w:rsidRDefault="00A55E49" w:rsidP="00A55E49">
      <w:pPr>
        <w:spacing w:line="360" w:lineRule="auto"/>
        <w:jc w:val="both"/>
        <w:rPr>
          <w:rFonts w:ascii="Times New Roman" w:hAnsi="Times New Roman"/>
          <w:sz w:val="24"/>
          <w:szCs w:val="24"/>
        </w:rPr>
      </w:pPr>
      <w:r>
        <w:rPr>
          <w:rFonts w:ascii="Times New Roman" w:hAnsi="Times New Roman"/>
          <w:sz w:val="24"/>
          <w:szCs w:val="24"/>
        </w:rPr>
        <w:t xml:space="preserve">     </w:t>
      </w:r>
      <w:r w:rsidRPr="00A03CEE">
        <w:rPr>
          <w:rFonts w:ascii="Times New Roman" w:hAnsi="Times New Roman"/>
          <w:sz w:val="24"/>
          <w:szCs w:val="24"/>
        </w:rPr>
        <w:t xml:space="preserve">Les différents accords internationaux de paix signés entre la Palestine et Israël démontrent bien la souveraineté internationale de la Palestine : la conférence de paix de Madrid (30 octobre 1991) ; les négociations d’Oslo (Norvège) en 1993 portant sur la déclaration d’autonomie de la Palestine. La Palestine accrédite des ambassadeurs étrangers et envoie des missions diplomatiques à l’étranger (en CI en 1998). Toutefois, la guerre intestine que se livrent l’autorité palestinienne représentée par le Président Mahoumoud Abbas et le Hamas fragilise la reconnaissance d’un seul pouvoir politique en Palestine. </w:t>
      </w:r>
    </w:p>
    <w:p w14:paraId="24969601" w14:textId="77777777" w:rsidR="00A55E49" w:rsidRPr="00A03CEE" w:rsidRDefault="00A55E49" w:rsidP="00A55E49">
      <w:pPr>
        <w:spacing w:line="360" w:lineRule="auto"/>
        <w:jc w:val="both"/>
        <w:rPr>
          <w:rFonts w:ascii="Times New Roman" w:hAnsi="Times New Roman"/>
          <w:sz w:val="24"/>
          <w:szCs w:val="24"/>
        </w:rPr>
      </w:pPr>
      <w:r w:rsidRPr="00A03CEE">
        <w:rPr>
          <w:rFonts w:ascii="Times New Roman" w:hAnsi="Times New Roman"/>
          <w:sz w:val="24"/>
          <w:szCs w:val="24"/>
        </w:rPr>
        <w:t xml:space="preserve">De tout ce qui précède, l’existence d’un Etat palestinien reste discutée.              </w:t>
      </w:r>
    </w:p>
    <w:p w14:paraId="40056CAB" w14:textId="77777777" w:rsidR="00A55E49" w:rsidRPr="00A03CEE" w:rsidRDefault="00A55E49" w:rsidP="00A55E49">
      <w:pPr>
        <w:spacing w:line="360" w:lineRule="auto"/>
        <w:jc w:val="both"/>
        <w:rPr>
          <w:rFonts w:ascii="Times New Roman" w:hAnsi="Times New Roman"/>
          <w:sz w:val="24"/>
          <w:szCs w:val="24"/>
        </w:rPr>
      </w:pPr>
      <w:r>
        <w:rPr>
          <w:rFonts w:ascii="Times New Roman" w:hAnsi="Times New Roman"/>
          <w:sz w:val="24"/>
          <w:szCs w:val="24"/>
        </w:rPr>
        <w:t xml:space="preserve">    </w:t>
      </w:r>
      <w:r w:rsidRPr="00A03CEE">
        <w:rPr>
          <w:rFonts w:ascii="Times New Roman" w:hAnsi="Times New Roman"/>
          <w:sz w:val="24"/>
          <w:szCs w:val="24"/>
        </w:rPr>
        <w:t>Nous ne saurions terminer cette analyse consacrée à l’Etat sans aborder même brièvement l’importance voire le poids des Etats dans les relations internationales. En réalité la typologie des Etats peut expliquer l’influence ou le positionnement de ceux-ci dans les relations internationales. Leur importance peut, nettement, s’expliquer par des éléments d’ordre idéologique, politique, socio-économique et culturel. Il en résulte une classification des Etats qui obéit à des critères tenant à divers éléments parmi lesquels : la forme constitutionnelle, la dimension territoriale et formation sociale.</w:t>
      </w:r>
    </w:p>
    <w:p w14:paraId="2B26C0D4" w14:textId="77777777" w:rsidR="00A55E49" w:rsidRPr="00A03CEE" w:rsidRDefault="00A55E49" w:rsidP="00A55E49">
      <w:pPr>
        <w:spacing w:line="360" w:lineRule="auto"/>
        <w:jc w:val="both"/>
        <w:rPr>
          <w:rFonts w:ascii="Times New Roman" w:hAnsi="Times New Roman"/>
          <w:sz w:val="24"/>
          <w:szCs w:val="24"/>
        </w:rPr>
      </w:pPr>
      <w:r w:rsidRPr="00A03CEE">
        <w:rPr>
          <w:rFonts w:ascii="Times New Roman" w:hAnsi="Times New Roman"/>
          <w:sz w:val="24"/>
          <w:szCs w:val="24"/>
        </w:rPr>
        <w:t xml:space="preserve">Relativement à sa forme constitutionnelle, il est de distinguer les Etats unitaires et les Etats composés parmi lesquels : l’Etat fédéral, la confédération d’Etats. </w:t>
      </w:r>
    </w:p>
    <w:p w14:paraId="08C03D4A" w14:textId="77777777" w:rsidR="00A55E49" w:rsidRPr="00A03CEE" w:rsidRDefault="00A55E49" w:rsidP="00A55E49">
      <w:pPr>
        <w:spacing w:line="360" w:lineRule="auto"/>
        <w:jc w:val="both"/>
        <w:rPr>
          <w:rFonts w:ascii="Times New Roman" w:hAnsi="Times New Roman"/>
          <w:sz w:val="24"/>
          <w:szCs w:val="24"/>
        </w:rPr>
      </w:pPr>
      <w:r w:rsidRPr="00A03CEE">
        <w:rPr>
          <w:rFonts w:ascii="Times New Roman" w:hAnsi="Times New Roman"/>
          <w:sz w:val="24"/>
          <w:szCs w:val="24"/>
        </w:rPr>
        <w:lastRenderedPageBreak/>
        <w:t>Pour ce qui est de la dimension territoriale, nous l’avions vu, il s’est agi de la superficie des Etats. Il y a des grands Etats et des micro-Etats.</w:t>
      </w:r>
    </w:p>
    <w:p w14:paraId="51FC032B" w14:textId="77777777" w:rsidR="00A55E49" w:rsidRPr="00A03CEE" w:rsidRDefault="00A55E49" w:rsidP="00A55E49">
      <w:pPr>
        <w:spacing w:line="360" w:lineRule="auto"/>
        <w:jc w:val="both"/>
        <w:rPr>
          <w:rFonts w:ascii="Times New Roman" w:hAnsi="Times New Roman"/>
          <w:sz w:val="24"/>
          <w:szCs w:val="24"/>
        </w:rPr>
      </w:pPr>
      <w:r>
        <w:rPr>
          <w:rFonts w:ascii="Times New Roman" w:hAnsi="Times New Roman"/>
          <w:sz w:val="24"/>
          <w:szCs w:val="24"/>
        </w:rPr>
        <w:t xml:space="preserve">       </w:t>
      </w:r>
      <w:r w:rsidRPr="00A03CEE">
        <w:rPr>
          <w:rFonts w:ascii="Times New Roman" w:hAnsi="Times New Roman"/>
          <w:sz w:val="24"/>
          <w:szCs w:val="24"/>
        </w:rPr>
        <w:t>Quant à la formation sociale, elle se dessine à travers les forces productives et les rapports de production qui déterminent le mode production. La classification des Etats s’élaborera à partir de ces différents critères.</w:t>
      </w:r>
    </w:p>
    <w:p w14:paraId="4C1266CE" w14:textId="77777777" w:rsidR="00A55E49" w:rsidRPr="00A03CEE" w:rsidRDefault="00A55E49" w:rsidP="00A55E49">
      <w:pPr>
        <w:spacing w:line="360" w:lineRule="auto"/>
        <w:jc w:val="both"/>
        <w:rPr>
          <w:rFonts w:ascii="Times New Roman" w:hAnsi="Times New Roman"/>
          <w:sz w:val="24"/>
          <w:szCs w:val="24"/>
        </w:rPr>
      </w:pPr>
      <w:r>
        <w:rPr>
          <w:rFonts w:ascii="Times New Roman" w:hAnsi="Times New Roman"/>
          <w:sz w:val="24"/>
          <w:szCs w:val="24"/>
        </w:rPr>
        <w:t xml:space="preserve">     </w:t>
      </w:r>
      <w:r w:rsidRPr="00A03CEE">
        <w:rPr>
          <w:rFonts w:ascii="Times New Roman" w:hAnsi="Times New Roman"/>
          <w:sz w:val="24"/>
          <w:szCs w:val="24"/>
        </w:rPr>
        <w:t>Les Etats capitalistes : au sens sociopolitique, ils sont marqués par le respect des droits de l’homme, le respect des libertés individuelles (d’expression, de croyance, d’opinion etc.), des libertés publiques (la liberté syndicale, la liberté associative, etc.), le pluralisme politique ou encore la possibilité de l’alternance politique. D’un point de vue économique, le capitalisme se définit par les rapports de production et les forces productives. Le capitalisme se caractérise par la propriété privée des moyens de production qui détermine les rapports de classes : la bourgeoisie, ceux qui possèdent les moyens de production et le prolétariat qui anime les moyens de production. Comme icônes du capitalisme, retenons les USA, France, Japon, Angleterre, Allemagne qui assurent une domination des relations internationales. Le capitalisme s’oppose nettement au socialisme.</w:t>
      </w:r>
    </w:p>
    <w:p w14:paraId="78FED309" w14:textId="77777777" w:rsidR="00A55E49" w:rsidRPr="00A03CEE" w:rsidRDefault="00A55E49" w:rsidP="00A55E49">
      <w:pPr>
        <w:spacing w:line="360" w:lineRule="auto"/>
        <w:jc w:val="both"/>
        <w:rPr>
          <w:rFonts w:ascii="Times New Roman" w:hAnsi="Times New Roman"/>
          <w:sz w:val="24"/>
          <w:szCs w:val="24"/>
        </w:rPr>
      </w:pPr>
      <w:r>
        <w:rPr>
          <w:rFonts w:ascii="Times New Roman" w:hAnsi="Times New Roman"/>
          <w:sz w:val="24"/>
          <w:szCs w:val="24"/>
        </w:rPr>
        <w:t xml:space="preserve">   </w:t>
      </w:r>
      <w:r w:rsidRPr="00A03CEE">
        <w:rPr>
          <w:rFonts w:ascii="Times New Roman" w:hAnsi="Times New Roman"/>
          <w:sz w:val="24"/>
          <w:szCs w:val="24"/>
        </w:rPr>
        <w:t xml:space="preserve">Les Etats socialistes : C’est Lénine qui en donne une meilleure acception : il s’agit d’un ensemble d’Etats qui se distinguent, </w:t>
      </w:r>
      <w:proofErr w:type="gramStart"/>
      <w:r w:rsidRPr="00A03CEE">
        <w:rPr>
          <w:rFonts w:ascii="Times New Roman" w:hAnsi="Times New Roman"/>
          <w:sz w:val="24"/>
          <w:szCs w:val="24"/>
        </w:rPr>
        <w:t>au</w:t>
      </w:r>
      <w:proofErr w:type="gramEnd"/>
      <w:r w:rsidRPr="00A03CEE">
        <w:rPr>
          <w:rFonts w:ascii="Times New Roman" w:hAnsi="Times New Roman"/>
          <w:sz w:val="24"/>
          <w:szCs w:val="24"/>
        </w:rPr>
        <w:t xml:space="preserve"> plan politique, par l’existence d’un parti unique exclusif fondé sur le centralisme démocratique. Dans ces Etats, </w:t>
      </w:r>
      <w:proofErr w:type="gramStart"/>
      <w:r w:rsidRPr="00A03CEE">
        <w:rPr>
          <w:rFonts w:ascii="Times New Roman" w:hAnsi="Times New Roman"/>
          <w:sz w:val="24"/>
          <w:szCs w:val="24"/>
        </w:rPr>
        <w:t>au</w:t>
      </w:r>
      <w:proofErr w:type="gramEnd"/>
      <w:r w:rsidRPr="00A03CEE">
        <w:rPr>
          <w:rFonts w:ascii="Times New Roman" w:hAnsi="Times New Roman"/>
          <w:sz w:val="24"/>
          <w:szCs w:val="24"/>
        </w:rPr>
        <w:t xml:space="preserve"> plan politique, on note une unité associative, syndicale ; une normalisation de la pensée, de l’expression, de l’opinion voire de la croyance. Sont privilégiées les libertés dites concrètes (droits économiques, sociaux et culturels) plutôt que celles jugées formelles (droits civils et politiques). Economiquement, ils sont caractérisés par l’appropriation collective des moyens de production. A l’intérieur comme à l’extérieur, l’Etat monopolise les activités économiques. A chaque citoyen doit être reconnu plus de liberté, garanti une participation effective à la gestion des affaires publiques. La répartition des richesses ne tient pas compte de la naissance ou la de l’origine sociale. Comme chantres du socialisme, retenons l’URSS, Cuba ou la Chine.</w:t>
      </w:r>
    </w:p>
    <w:p w14:paraId="62F2F72E" w14:textId="77777777" w:rsidR="00A55E49" w:rsidRPr="00A03CEE" w:rsidRDefault="00A55E49" w:rsidP="00A55E49">
      <w:pPr>
        <w:spacing w:line="360" w:lineRule="auto"/>
        <w:jc w:val="both"/>
        <w:rPr>
          <w:rFonts w:ascii="Times New Roman" w:hAnsi="Times New Roman"/>
          <w:sz w:val="24"/>
          <w:szCs w:val="24"/>
        </w:rPr>
      </w:pPr>
      <w:r>
        <w:rPr>
          <w:rFonts w:ascii="Times New Roman" w:hAnsi="Times New Roman"/>
          <w:sz w:val="24"/>
          <w:szCs w:val="24"/>
        </w:rPr>
        <w:t xml:space="preserve">    </w:t>
      </w:r>
      <w:r w:rsidRPr="00A03CEE">
        <w:rPr>
          <w:rFonts w:ascii="Times New Roman" w:hAnsi="Times New Roman"/>
          <w:sz w:val="24"/>
          <w:szCs w:val="24"/>
        </w:rPr>
        <w:t>L’antagonisme entre ces deux modèles conduisit à la bipolarisation des relations internationales. A côté de ces deux camps, apparaissent de nouveaux Etats, ceux du Tiers-Monde. Forgée par Alfred Sauvy à partir du terme « Tiers-Etat », la notion de Tiers-Monde se réfère au sous-développement. Les Etats du Tiers-Monde sont les Etats sous-développés</w:t>
      </w:r>
      <w:r w:rsidRPr="00A03CEE">
        <w:rPr>
          <w:rStyle w:val="Appelnotedebasdep"/>
          <w:rFonts w:ascii="Times New Roman" w:hAnsi="Times New Roman"/>
          <w:sz w:val="24"/>
          <w:szCs w:val="24"/>
        </w:rPr>
        <w:footnoteReference w:id="29"/>
      </w:r>
      <w:r w:rsidRPr="00A03CEE">
        <w:rPr>
          <w:rFonts w:ascii="Times New Roman" w:hAnsi="Times New Roman"/>
          <w:sz w:val="24"/>
          <w:szCs w:val="24"/>
        </w:rPr>
        <w:t xml:space="preserve">. Au </w:t>
      </w:r>
      <w:r w:rsidRPr="00A03CEE">
        <w:rPr>
          <w:rFonts w:ascii="Times New Roman" w:hAnsi="Times New Roman"/>
          <w:sz w:val="24"/>
          <w:szCs w:val="24"/>
        </w:rPr>
        <w:lastRenderedPageBreak/>
        <w:t xml:space="preserve">niveau sociopolitique, ils se caractérisent par le régime mono partisan, des associations et syndicats inféodés au parti, la négation des libertés individuelles. </w:t>
      </w:r>
      <w:proofErr w:type="gramStart"/>
      <w:r w:rsidRPr="00A03CEE">
        <w:rPr>
          <w:rFonts w:ascii="Times New Roman" w:hAnsi="Times New Roman"/>
          <w:sz w:val="24"/>
          <w:szCs w:val="24"/>
        </w:rPr>
        <w:t>Au</w:t>
      </w:r>
      <w:proofErr w:type="gramEnd"/>
      <w:r w:rsidRPr="00A03CEE">
        <w:rPr>
          <w:rFonts w:ascii="Times New Roman" w:hAnsi="Times New Roman"/>
          <w:sz w:val="24"/>
          <w:szCs w:val="24"/>
        </w:rPr>
        <w:t xml:space="preserve"> plan économique, ce sont de gros exportateurs de matières premières, leur économie est extravertie. Il en résulte une forte dépendance vis-à-vis des Etats industrialisés et une pauvreté accrue. Des efforts de mécanisation et d’industrialisation des moyens de production sont perceptibles de nos jours. </w:t>
      </w:r>
    </w:p>
    <w:p w14:paraId="1E0183BE" w14:textId="77777777" w:rsidR="00A55E49" w:rsidRPr="00A03CEE" w:rsidRDefault="00A55E49" w:rsidP="00A55E49">
      <w:pPr>
        <w:spacing w:line="360" w:lineRule="auto"/>
        <w:jc w:val="both"/>
        <w:rPr>
          <w:rFonts w:ascii="Times New Roman" w:hAnsi="Times New Roman"/>
          <w:sz w:val="24"/>
          <w:szCs w:val="24"/>
        </w:rPr>
      </w:pPr>
      <w:r>
        <w:rPr>
          <w:rFonts w:ascii="Times New Roman" w:hAnsi="Times New Roman"/>
          <w:sz w:val="24"/>
          <w:szCs w:val="24"/>
        </w:rPr>
        <w:t xml:space="preserve">   </w:t>
      </w:r>
      <w:r w:rsidRPr="00A03CEE">
        <w:rPr>
          <w:rFonts w:ascii="Times New Roman" w:hAnsi="Times New Roman"/>
          <w:sz w:val="24"/>
          <w:szCs w:val="24"/>
        </w:rPr>
        <w:t>Cette typologie des Etats fut remise en cause par la « perestroïka » de Mikhaïl Gorbatchev qui augura d’une nouvelle classification « le monde globalisé », c’est-à-dire la mondialisation. Le père de la perestroïka fut d’abord Secrétaire général du parti communiste en 1985, avant d’être le chef de l’Etat de 1988 à 1991. La perestroïka a trois principaux enjeux : la restructuration sociopolitique</w:t>
      </w:r>
      <w:r w:rsidRPr="00A03CEE">
        <w:rPr>
          <w:rStyle w:val="Appelnotedebasdep"/>
          <w:rFonts w:ascii="Times New Roman" w:hAnsi="Times New Roman"/>
          <w:sz w:val="24"/>
          <w:szCs w:val="24"/>
        </w:rPr>
        <w:footnoteReference w:id="30"/>
      </w:r>
      <w:r w:rsidRPr="00A03CEE">
        <w:rPr>
          <w:rFonts w:ascii="Times New Roman" w:hAnsi="Times New Roman"/>
          <w:sz w:val="24"/>
          <w:szCs w:val="24"/>
        </w:rPr>
        <w:t xml:space="preserve"> et économique</w:t>
      </w:r>
      <w:r w:rsidRPr="00A03CEE">
        <w:rPr>
          <w:rStyle w:val="Appelnotedebasdep"/>
          <w:rFonts w:ascii="Times New Roman" w:hAnsi="Times New Roman"/>
          <w:sz w:val="24"/>
          <w:szCs w:val="24"/>
        </w:rPr>
        <w:footnoteReference w:id="31"/>
      </w:r>
      <w:r w:rsidRPr="00A03CEE">
        <w:rPr>
          <w:rFonts w:ascii="Times New Roman" w:hAnsi="Times New Roman"/>
          <w:sz w:val="24"/>
          <w:szCs w:val="24"/>
        </w:rPr>
        <w:t xml:space="preserve"> </w:t>
      </w:r>
      <w:proofErr w:type="gramStart"/>
      <w:r w:rsidRPr="00A03CEE">
        <w:rPr>
          <w:rFonts w:ascii="Times New Roman" w:hAnsi="Times New Roman"/>
          <w:sz w:val="24"/>
          <w:szCs w:val="24"/>
        </w:rPr>
        <w:t>au</w:t>
      </w:r>
      <w:proofErr w:type="gramEnd"/>
      <w:r w:rsidRPr="00A03CEE">
        <w:rPr>
          <w:rFonts w:ascii="Times New Roman" w:hAnsi="Times New Roman"/>
          <w:sz w:val="24"/>
          <w:szCs w:val="24"/>
        </w:rPr>
        <w:t xml:space="preserve"> plan interne, la détente et l’ouverture aux autres Etats</w:t>
      </w:r>
      <w:r w:rsidRPr="00A03CEE">
        <w:rPr>
          <w:rStyle w:val="Appelnotedebasdep"/>
          <w:rFonts w:ascii="Times New Roman" w:hAnsi="Times New Roman"/>
          <w:sz w:val="24"/>
          <w:szCs w:val="24"/>
        </w:rPr>
        <w:footnoteReference w:id="32"/>
      </w:r>
      <w:r w:rsidRPr="00A03CEE">
        <w:rPr>
          <w:rFonts w:ascii="Times New Roman" w:hAnsi="Times New Roman"/>
          <w:sz w:val="24"/>
          <w:szCs w:val="24"/>
        </w:rPr>
        <w:t xml:space="preserve"> et le « </w:t>
      </w:r>
      <w:proofErr w:type="spellStart"/>
      <w:r w:rsidRPr="00A03CEE">
        <w:rPr>
          <w:rFonts w:ascii="Times New Roman" w:hAnsi="Times New Roman"/>
          <w:sz w:val="24"/>
          <w:szCs w:val="24"/>
        </w:rPr>
        <w:t>glanost</w:t>
      </w:r>
      <w:proofErr w:type="spellEnd"/>
      <w:r w:rsidRPr="00A03CEE">
        <w:rPr>
          <w:rFonts w:ascii="Times New Roman" w:hAnsi="Times New Roman"/>
          <w:sz w:val="24"/>
          <w:szCs w:val="24"/>
        </w:rPr>
        <w:t> »</w:t>
      </w:r>
      <w:r w:rsidRPr="00A03CEE">
        <w:rPr>
          <w:rStyle w:val="Appelnotedebasdep"/>
          <w:rFonts w:ascii="Times New Roman" w:hAnsi="Times New Roman"/>
          <w:sz w:val="24"/>
          <w:szCs w:val="24"/>
        </w:rPr>
        <w:footnoteReference w:id="33"/>
      </w:r>
      <w:r w:rsidRPr="00A03CEE">
        <w:rPr>
          <w:rFonts w:ascii="Times New Roman" w:hAnsi="Times New Roman"/>
          <w:sz w:val="24"/>
          <w:szCs w:val="24"/>
        </w:rPr>
        <w:t xml:space="preserve"> ou la vérité dans la gestion des affaires publiques et privées, autrement dit, la levée des tabous</w:t>
      </w:r>
      <w:r w:rsidRPr="00A03CEE">
        <w:rPr>
          <w:rStyle w:val="Appelnotedebasdep"/>
          <w:rFonts w:ascii="Times New Roman" w:hAnsi="Times New Roman"/>
          <w:sz w:val="24"/>
          <w:szCs w:val="24"/>
        </w:rPr>
        <w:footnoteReference w:id="34"/>
      </w:r>
      <w:r w:rsidRPr="00A03CEE">
        <w:rPr>
          <w:rFonts w:ascii="Times New Roman" w:hAnsi="Times New Roman"/>
          <w:sz w:val="24"/>
          <w:szCs w:val="24"/>
        </w:rPr>
        <w:t xml:space="preserve">.        </w:t>
      </w:r>
    </w:p>
    <w:p w14:paraId="3B27D64F" w14:textId="77777777" w:rsidR="00A55E49" w:rsidRPr="00A03CEE" w:rsidRDefault="00A55E49" w:rsidP="00A55E49">
      <w:pPr>
        <w:spacing w:line="360" w:lineRule="auto"/>
        <w:jc w:val="both"/>
        <w:rPr>
          <w:rFonts w:ascii="Times New Roman" w:hAnsi="Times New Roman"/>
          <w:sz w:val="24"/>
          <w:szCs w:val="24"/>
        </w:rPr>
      </w:pPr>
      <w:r w:rsidRPr="00A03CEE">
        <w:rPr>
          <w:rFonts w:ascii="Times New Roman" w:hAnsi="Times New Roman"/>
          <w:sz w:val="24"/>
          <w:szCs w:val="24"/>
        </w:rPr>
        <w:t>Cette nouvelle orientation donnée au régime communiste entraina le réveil des nationalismes et précipita le mouvement d’effondrement du bloc soviétique</w:t>
      </w:r>
      <w:r w:rsidRPr="00A03CEE">
        <w:rPr>
          <w:rStyle w:val="Appelnotedebasdep"/>
          <w:rFonts w:ascii="Times New Roman" w:hAnsi="Times New Roman"/>
          <w:sz w:val="24"/>
          <w:szCs w:val="24"/>
        </w:rPr>
        <w:footnoteReference w:id="35"/>
      </w:r>
      <w:r w:rsidRPr="00A03CEE">
        <w:rPr>
          <w:rFonts w:ascii="Times New Roman" w:hAnsi="Times New Roman"/>
          <w:sz w:val="24"/>
          <w:szCs w:val="24"/>
        </w:rPr>
        <w:t>. Les Etats fédérés réclamèrent leur indépendance.</w:t>
      </w:r>
    </w:p>
    <w:p w14:paraId="025556B7" w14:textId="77777777" w:rsidR="00A55E49" w:rsidRPr="00A03CEE" w:rsidRDefault="00A55E49" w:rsidP="00A55E49">
      <w:pPr>
        <w:spacing w:line="360" w:lineRule="auto"/>
        <w:jc w:val="both"/>
        <w:rPr>
          <w:rFonts w:ascii="Times New Roman" w:hAnsi="Times New Roman"/>
          <w:sz w:val="24"/>
          <w:szCs w:val="24"/>
        </w:rPr>
      </w:pPr>
      <w:r>
        <w:rPr>
          <w:rFonts w:ascii="Times New Roman" w:hAnsi="Times New Roman"/>
          <w:sz w:val="24"/>
          <w:szCs w:val="24"/>
        </w:rPr>
        <w:t xml:space="preserve">     </w:t>
      </w:r>
      <w:r w:rsidRPr="00A03CEE">
        <w:rPr>
          <w:rFonts w:ascii="Times New Roman" w:hAnsi="Times New Roman"/>
          <w:sz w:val="24"/>
          <w:szCs w:val="24"/>
        </w:rPr>
        <w:t xml:space="preserve">Une autre classification plus actuelle va apparaître sous l’ère de la mondialisation : la distinction « Pays-développés et Pays sous-développés ». Retenons d’emblée que la notion de développement n’est pas aisée à cerner tant elle recouvre des aspects et des domaines divers. En substance, le développement est perçu comme un processus, un état d’évolution et un résultat. Il peut s’agir de progrès enregistrés, de transformations positives dans divers domaines, dans les mentalités, les habitudes, dans la création intellectuelle, dans la production scientifique, </w:t>
      </w:r>
      <w:r w:rsidRPr="00A03CEE">
        <w:rPr>
          <w:rFonts w:ascii="Times New Roman" w:hAnsi="Times New Roman"/>
          <w:sz w:val="24"/>
          <w:szCs w:val="24"/>
        </w:rPr>
        <w:lastRenderedPageBreak/>
        <w:t xml:space="preserve">économique. Le développement est une donnée quantifiable, mesurable. Ainsi des indicateurs, des indices, des coefficients permettent-ils de mesurer l’état de développement d’un Etat : il s’agit par exemple, des parts de branches sectorielles (part du secteur agricole, du secteur industriel, etc.), des indicateurs sociaux (nombre de médecins/hab., nombre d’université/par région, taux d’alphabétisation). Pour la plupart, les pays développés sont les Etats industrialisés. </w:t>
      </w:r>
    </w:p>
    <w:p w14:paraId="1EEC5EEF" w14:textId="77777777" w:rsidR="00A55E49" w:rsidRPr="00A03CEE" w:rsidRDefault="00A55E49" w:rsidP="00A55E49">
      <w:pPr>
        <w:spacing w:line="360" w:lineRule="auto"/>
        <w:jc w:val="both"/>
        <w:rPr>
          <w:rFonts w:ascii="Times New Roman" w:hAnsi="Times New Roman"/>
          <w:sz w:val="24"/>
          <w:szCs w:val="24"/>
        </w:rPr>
      </w:pPr>
      <w:r>
        <w:rPr>
          <w:rFonts w:ascii="Times New Roman" w:hAnsi="Times New Roman"/>
          <w:sz w:val="24"/>
          <w:szCs w:val="24"/>
        </w:rPr>
        <w:t xml:space="preserve">   </w:t>
      </w:r>
      <w:r w:rsidRPr="00A03CEE">
        <w:rPr>
          <w:rFonts w:ascii="Times New Roman" w:hAnsi="Times New Roman"/>
          <w:sz w:val="24"/>
          <w:szCs w:val="24"/>
        </w:rPr>
        <w:t>Quant au sous-développement, il est caractérisé par des caractères structurels spécifiques comme la domination économique des Etats industriels, la pauvreté, la famine, les inégalités extrêmes, des régimes non démocratiques. Le sous-développement est ainsi un état de déficit, de précarité, d’infériorité par rapport aux autres : il s’agit du Pnb/hab., analphabétisation, forte mortalité, forte ruralité, très faible industrialisation. Pour la plupart, les pays sous-développés se trouvent en Afrique, en Amérique latine et en Asie.</w:t>
      </w:r>
    </w:p>
    <w:p w14:paraId="6D02AFFF" w14:textId="77777777" w:rsidR="00A55E49" w:rsidRPr="00A03CEE" w:rsidRDefault="00A55E49" w:rsidP="00A55E49">
      <w:pPr>
        <w:spacing w:line="360" w:lineRule="auto"/>
        <w:jc w:val="both"/>
        <w:rPr>
          <w:rFonts w:ascii="Times New Roman" w:hAnsi="Times New Roman"/>
          <w:sz w:val="24"/>
          <w:szCs w:val="24"/>
        </w:rPr>
      </w:pPr>
      <w:r w:rsidRPr="00A03CEE">
        <w:rPr>
          <w:rFonts w:ascii="Times New Roman" w:hAnsi="Times New Roman"/>
          <w:sz w:val="24"/>
          <w:szCs w:val="24"/>
        </w:rPr>
        <w:t>Après avoir consacré aux acteurs primordiaux des relations internationales que sont les Etats, intéressons-nous à présent aux organisations internationales.</w:t>
      </w:r>
    </w:p>
    <w:p w14:paraId="1E8191CA" w14:textId="77777777" w:rsidR="00A55E49" w:rsidRDefault="00A55E49"/>
    <w:sectPr w:rsidR="00A55E4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80971" w14:textId="77777777" w:rsidR="009718FB" w:rsidRDefault="009718FB" w:rsidP="00A55E49">
      <w:pPr>
        <w:spacing w:after="0" w:line="240" w:lineRule="auto"/>
      </w:pPr>
      <w:r>
        <w:separator/>
      </w:r>
    </w:p>
  </w:endnote>
  <w:endnote w:type="continuationSeparator" w:id="0">
    <w:p w14:paraId="05D31F43" w14:textId="77777777" w:rsidR="009718FB" w:rsidRDefault="009718FB" w:rsidP="00A55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92C9B" w14:textId="77777777" w:rsidR="009718FB" w:rsidRDefault="009718FB" w:rsidP="00A55E49">
      <w:pPr>
        <w:spacing w:after="0" w:line="240" w:lineRule="auto"/>
      </w:pPr>
      <w:r>
        <w:separator/>
      </w:r>
    </w:p>
  </w:footnote>
  <w:footnote w:type="continuationSeparator" w:id="0">
    <w:p w14:paraId="05D93CAA" w14:textId="77777777" w:rsidR="009718FB" w:rsidRDefault="009718FB" w:rsidP="00A55E49">
      <w:pPr>
        <w:spacing w:after="0" w:line="240" w:lineRule="auto"/>
      </w:pPr>
      <w:r>
        <w:continuationSeparator/>
      </w:r>
    </w:p>
  </w:footnote>
  <w:footnote w:id="1">
    <w:p w14:paraId="1B26AAD2" w14:textId="77777777" w:rsidR="00A55E49" w:rsidRPr="00AE2F20" w:rsidRDefault="00A55E49" w:rsidP="00A55E49">
      <w:pPr>
        <w:pStyle w:val="Notedebasdepage"/>
        <w:spacing w:after="120" w:line="240" w:lineRule="auto"/>
        <w:jc w:val="both"/>
        <w:rPr>
          <w:rFonts w:ascii="Times New Roman" w:hAnsi="Times New Roman"/>
        </w:rPr>
      </w:pPr>
      <w:r w:rsidRPr="00AE2F20">
        <w:rPr>
          <w:rStyle w:val="Appelnotedebasdep"/>
          <w:rFonts w:ascii="Times New Roman" w:hAnsi="Times New Roman"/>
        </w:rPr>
        <w:footnoteRef/>
      </w:r>
      <w:r w:rsidRPr="00AE2F20">
        <w:rPr>
          <w:rFonts w:ascii="Times New Roman" w:hAnsi="Times New Roman"/>
        </w:rPr>
        <w:t xml:space="preserve"> Debard Thierry, </w:t>
      </w:r>
      <w:r w:rsidRPr="00AE2F20">
        <w:rPr>
          <w:rFonts w:ascii="Times New Roman" w:hAnsi="Times New Roman"/>
          <w:i/>
        </w:rPr>
        <w:t>Dictionnaire de droit constitutionnel</w:t>
      </w:r>
      <w:r w:rsidRPr="00AE2F20">
        <w:rPr>
          <w:rFonts w:ascii="Times New Roman" w:hAnsi="Times New Roman"/>
        </w:rPr>
        <w:t xml:space="preserve">, Paris, Ellipses, 2è édition, 2007, p. 176. </w:t>
      </w:r>
    </w:p>
  </w:footnote>
  <w:footnote w:id="2">
    <w:p w14:paraId="35740465" w14:textId="77777777" w:rsidR="00A55E49" w:rsidRPr="00AE2F20" w:rsidRDefault="00A55E49" w:rsidP="00A55E49">
      <w:pPr>
        <w:pStyle w:val="Notedebasdepage"/>
        <w:spacing w:after="120" w:line="240" w:lineRule="auto"/>
        <w:jc w:val="both"/>
        <w:rPr>
          <w:rFonts w:ascii="Times New Roman" w:hAnsi="Times New Roman"/>
        </w:rPr>
      </w:pPr>
      <w:r w:rsidRPr="00AE2F20">
        <w:rPr>
          <w:rStyle w:val="Appelnotedebasdep"/>
          <w:rFonts w:ascii="Times New Roman" w:hAnsi="Times New Roman"/>
        </w:rPr>
        <w:footnoteRef/>
      </w:r>
      <w:r w:rsidRPr="00AE2F20">
        <w:rPr>
          <w:rFonts w:ascii="Times New Roman" w:hAnsi="Times New Roman"/>
        </w:rPr>
        <w:t xml:space="preserve"> </w:t>
      </w:r>
      <w:r w:rsidRPr="00AE2F20">
        <w:rPr>
          <w:rFonts w:ascii="Times New Roman" w:hAnsi="Times New Roman"/>
        </w:rPr>
        <w:t>Idem, p. 317.</w:t>
      </w:r>
    </w:p>
  </w:footnote>
  <w:footnote w:id="3">
    <w:p w14:paraId="3ED962D2" w14:textId="77777777" w:rsidR="00A55E49" w:rsidRPr="00AE2F20" w:rsidRDefault="00A55E49" w:rsidP="00A55E49">
      <w:pPr>
        <w:pStyle w:val="Notedebasdepage"/>
        <w:spacing w:after="120" w:line="240" w:lineRule="auto"/>
        <w:jc w:val="both"/>
        <w:rPr>
          <w:rFonts w:ascii="Times New Roman" w:hAnsi="Times New Roman"/>
        </w:rPr>
      </w:pPr>
      <w:r w:rsidRPr="00AE2F20">
        <w:rPr>
          <w:rStyle w:val="Appelnotedebasdep"/>
          <w:rFonts w:ascii="Times New Roman" w:hAnsi="Times New Roman"/>
        </w:rPr>
        <w:footnoteRef/>
      </w:r>
      <w:r w:rsidRPr="00AE2F20">
        <w:rPr>
          <w:rFonts w:ascii="Times New Roman" w:hAnsi="Times New Roman"/>
        </w:rPr>
        <w:t xml:space="preserve"> </w:t>
      </w:r>
      <w:r w:rsidRPr="00AE2F20">
        <w:rPr>
          <w:rFonts w:ascii="Times New Roman" w:hAnsi="Times New Roman"/>
        </w:rPr>
        <w:t>Se rapporter à la convention de New-York du 28 septembre 1954 sur le statut des apatrides et celle du 30 avril 1961 relative à la réduction des cas d’apatridie.</w:t>
      </w:r>
    </w:p>
  </w:footnote>
  <w:footnote w:id="4">
    <w:p w14:paraId="34B0DABF" w14:textId="77777777" w:rsidR="00A55E49" w:rsidRPr="00AE2F20" w:rsidRDefault="00A55E49" w:rsidP="00A55E49">
      <w:pPr>
        <w:pStyle w:val="Notedebasdepage"/>
        <w:spacing w:after="120" w:line="240" w:lineRule="auto"/>
        <w:jc w:val="both"/>
        <w:rPr>
          <w:rFonts w:ascii="Times New Roman" w:hAnsi="Times New Roman"/>
        </w:rPr>
      </w:pPr>
      <w:r w:rsidRPr="00AE2F20">
        <w:rPr>
          <w:rStyle w:val="Appelnotedebasdep"/>
          <w:rFonts w:ascii="Times New Roman" w:hAnsi="Times New Roman"/>
        </w:rPr>
        <w:footnoteRef/>
      </w:r>
      <w:r w:rsidRPr="00AE2F20">
        <w:rPr>
          <w:rFonts w:ascii="Times New Roman" w:hAnsi="Times New Roman"/>
        </w:rPr>
        <w:t xml:space="preserve"> </w:t>
      </w:r>
      <w:r w:rsidRPr="00AE2F20">
        <w:rPr>
          <w:rFonts w:ascii="Times New Roman" w:hAnsi="Times New Roman"/>
        </w:rPr>
        <w:t xml:space="preserve">CPJI Arrêt du 25 mai 1926 relatif à certains droits et intérêts allemands en Haute-Silésie Polonaise ; CPJI, 15 décembre 1933, affaire de l’Université Peter Pazany de Budapest ; CPJI, avis du 4 février 1932 relatif au traitement des nationaux polonais à Dantzig.  </w:t>
      </w:r>
    </w:p>
  </w:footnote>
  <w:footnote w:id="5">
    <w:p w14:paraId="7FC49DA9" w14:textId="77777777" w:rsidR="00A55E49" w:rsidRPr="00AE2F20" w:rsidRDefault="00A55E49" w:rsidP="00A55E49">
      <w:pPr>
        <w:pStyle w:val="Notedebasdepage"/>
        <w:spacing w:after="120" w:line="240" w:lineRule="auto"/>
        <w:jc w:val="both"/>
        <w:rPr>
          <w:rFonts w:ascii="Times New Roman" w:hAnsi="Times New Roman"/>
        </w:rPr>
      </w:pPr>
      <w:r w:rsidRPr="00AE2F20">
        <w:rPr>
          <w:rStyle w:val="Appelnotedebasdep"/>
          <w:rFonts w:ascii="Times New Roman" w:hAnsi="Times New Roman"/>
        </w:rPr>
        <w:footnoteRef/>
      </w:r>
      <w:r w:rsidRPr="00AE2F20">
        <w:rPr>
          <w:rFonts w:ascii="Times New Roman" w:hAnsi="Times New Roman"/>
        </w:rPr>
        <w:t xml:space="preserve"> </w:t>
      </w:r>
      <w:r w:rsidRPr="00AE2F20">
        <w:rPr>
          <w:rFonts w:ascii="Times New Roman" w:hAnsi="Times New Roman"/>
        </w:rPr>
        <w:t xml:space="preserve">Voir Basdevant Suzanne, « Théorie générale de la condition des étrangers », Répertoire de droit international de </w:t>
      </w:r>
      <w:proofErr w:type="spellStart"/>
      <w:r w:rsidRPr="00AE2F20">
        <w:rPr>
          <w:rFonts w:ascii="Times New Roman" w:hAnsi="Times New Roman"/>
        </w:rPr>
        <w:t>Niboyet</w:t>
      </w:r>
      <w:proofErr w:type="spellEnd"/>
      <w:r w:rsidRPr="00AE2F20">
        <w:rPr>
          <w:rFonts w:ascii="Times New Roman" w:hAnsi="Times New Roman"/>
        </w:rPr>
        <w:t xml:space="preserve"> et de la Pradelle, T.VIII, pp. 4 et </w:t>
      </w:r>
      <w:proofErr w:type="spellStart"/>
      <w:r w:rsidRPr="00AE2F20">
        <w:rPr>
          <w:rFonts w:ascii="Times New Roman" w:hAnsi="Times New Roman"/>
        </w:rPr>
        <w:t>suiv</w:t>
      </w:r>
      <w:proofErr w:type="spellEnd"/>
      <w:r w:rsidRPr="00AE2F20">
        <w:rPr>
          <w:rFonts w:ascii="Times New Roman" w:hAnsi="Times New Roman"/>
        </w:rPr>
        <w:t xml:space="preserve"> ; </w:t>
      </w:r>
      <w:proofErr w:type="spellStart"/>
      <w:r w:rsidRPr="00AE2F20">
        <w:rPr>
          <w:rFonts w:ascii="Times New Roman" w:hAnsi="Times New Roman"/>
        </w:rPr>
        <w:t>Abiabag</w:t>
      </w:r>
      <w:proofErr w:type="spellEnd"/>
      <w:r w:rsidRPr="00AE2F20">
        <w:rPr>
          <w:rFonts w:ascii="Times New Roman" w:hAnsi="Times New Roman"/>
        </w:rPr>
        <w:t xml:space="preserve"> Issa, « Le statut des étrangers », encyclopédie juridique de l’Afrique, T. 6, Abidjan, Dakar, Lomé, NEA, 1982, pp. 129-141. </w:t>
      </w:r>
    </w:p>
  </w:footnote>
  <w:footnote w:id="6">
    <w:p w14:paraId="34E15927" w14:textId="77777777" w:rsidR="00A55E49" w:rsidRPr="00AE2F20" w:rsidRDefault="00A55E49" w:rsidP="00A55E49">
      <w:pPr>
        <w:pStyle w:val="Notedebasdepage"/>
        <w:spacing w:after="120" w:line="240" w:lineRule="auto"/>
        <w:jc w:val="both"/>
        <w:rPr>
          <w:rFonts w:ascii="Times New Roman" w:hAnsi="Times New Roman"/>
        </w:rPr>
      </w:pPr>
      <w:r w:rsidRPr="00AE2F20">
        <w:rPr>
          <w:rStyle w:val="Appelnotedebasdep"/>
          <w:rFonts w:ascii="Times New Roman" w:hAnsi="Times New Roman"/>
        </w:rPr>
        <w:footnoteRef/>
      </w:r>
      <w:r w:rsidRPr="00AE2F20">
        <w:rPr>
          <w:rFonts w:ascii="Times New Roman" w:hAnsi="Times New Roman"/>
        </w:rPr>
        <w:t xml:space="preserve"> </w:t>
      </w:r>
      <w:r w:rsidRPr="00AE2F20">
        <w:rPr>
          <w:rFonts w:ascii="Times New Roman" w:hAnsi="Times New Roman"/>
        </w:rPr>
        <w:t>La convention de New-York du 28 septembre 1954 sur le statut des apatrides.</w:t>
      </w:r>
    </w:p>
  </w:footnote>
  <w:footnote w:id="7">
    <w:p w14:paraId="4425F147" w14:textId="77777777" w:rsidR="00A55E49" w:rsidRPr="00AE2F20" w:rsidRDefault="00A55E49" w:rsidP="00A55E49">
      <w:pPr>
        <w:pStyle w:val="Notedebasdepage"/>
        <w:spacing w:after="120" w:line="240" w:lineRule="auto"/>
        <w:jc w:val="both"/>
        <w:rPr>
          <w:rFonts w:ascii="Times New Roman" w:hAnsi="Times New Roman"/>
        </w:rPr>
      </w:pPr>
      <w:r w:rsidRPr="00AE2F20">
        <w:rPr>
          <w:rStyle w:val="Appelnotedebasdep"/>
          <w:rFonts w:ascii="Times New Roman" w:hAnsi="Times New Roman"/>
        </w:rPr>
        <w:footnoteRef/>
      </w:r>
      <w:r w:rsidRPr="00AE2F20">
        <w:rPr>
          <w:rFonts w:ascii="Times New Roman" w:hAnsi="Times New Roman"/>
        </w:rPr>
        <w:t xml:space="preserve"> </w:t>
      </w:r>
      <w:r w:rsidRPr="00AE2F20">
        <w:rPr>
          <w:rFonts w:ascii="Times New Roman" w:hAnsi="Times New Roman"/>
        </w:rPr>
        <w:t>Il s’agit de toute personne « craignant avec raison d’être persécutée du fait de sa race, de sa religion, de sa nationalité, de son appartenance à un certain groupe social ou à de ses opinions politiques, se trouve hors du pays dont elle a la nationalité et qui ne peut ou, du fait cette crainte, ne veut se réclamer de la protection de ce pays » convention sur les réfugiés, art. 1</w:t>
      </w:r>
      <w:r w:rsidRPr="00AE2F20">
        <w:rPr>
          <w:rFonts w:ascii="Times New Roman" w:hAnsi="Times New Roman"/>
          <w:vertAlign w:val="superscript"/>
        </w:rPr>
        <w:t>er</w:t>
      </w:r>
      <w:r w:rsidRPr="00AE2F20">
        <w:rPr>
          <w:rFonts w:ascii="Times New Roman" w:hAnsi="Times New Roman"/>
        </w:rPr>
        <w:t xml:space="preserve">, A 2°, du protocole du 31 janvier 1967.  </w:t>
      </w:r>
    </w:p>
  </w:footnote>
  <w:footnote w:id="8">
    <w:p w14:paraId="7EA60EE6" w14:textId="77777777" w:rsidR="00A55E49" w:rsidRPr="00AE2F20" w:rsidRDefault="00A55E49" w:rsidP="00A55E49">
      <w:pPr>
        <w:pStyle w:val="Notedebasdepage"/>
        <w:spacing w:after="120" w:line="240" w:lineRule="auto"/>
        <w:jc w:val="both"/>
        <w:rPr>
          <w:rFonts w:ascii="Times New Roman" w:hAnsi="Times New Roman"/>
        </w:rPr>
      </w:pPr>
      <w:r w:rsidRPr="00AE2F20">
        <w:rPr>
          <w:rStyle w:val="Appelnotedebasdep"/>
          <w:rFonts w:ascii="Times New Roman" w:hAnsi="Times New Roman"/>
        </w:rPr>
        <w:footnoteRef/>
      </w:r>
      <w:r w:rsidRPr="00AE2F20">
        <w:rPr>
          <w:rFonts w:ascii="Times New Roman" w:hAnsi="Times New Roman"/>
        </w:rPr>
        <w:t xml:space="preserve"> </w:t>
      </w:r>
      <w:r w:rsidRPr="00AE2F20">
        <w:rPr>
          <w:rFonts w:ascii="Times New Roman" w:hAnsi="Times New Roman"/>
        </w:rPr>
        <w:t>La CPJI dans son avis du 4 février 1932 relatif au traitement des nationaux polonais à Dantzig, se réfère à cette égalité de traitement.</w:t>
      </w:r>
    </w:p>
  </w:footnote>
  <w:footnote w:id="9">
    <w:p w14:paraId="43969327" w14:textId="77777777" w:rsidR="00A55E49" w:rsidRPr="00AE2F20" w:rsidRDefault="00A55E49" w:rsidP="00A55E49">
      <w:pPr>
        <w:pStyle w:val="Notedebasdepage"/>
        <w:spacing w:after="120" w:line="240" w:lineRule="auto"/>
        <w:jc w:val="both"/>
        <w:rPr>
          <w:rFonts w:ascii="Times New Roman" w:hAnsi="Times New Roman"/>
        </w:rPr>
      </w:pPr>
      <w:r w:rsidRPr="00AE2F20">
        <w:rPr>
          <w:rStyle w:val="Appelnotedebasdep"/>
          <w:rFonts w:ascii="Times New Roman" w:hAnsi="Times New Roman"/>
        </w:rPr>
        <w:footnoteRef/>
      </w:r>
      <w:r w:rsidRPr="00AE2F20">
        <w:rPr>
          <w:rFonts w:ascii="Times New Roman" w:hAnsi="Times New Roman"/>
        </w:rPr>
        <w:t xml:space="preserve"> </w:t>
      </w:r>
      <w:r w:rsidRPr="00AE2F20">
        <w:rPr>
          <w:rFonts w:ascii="Times New Roman" w:hAnsi="Times New Roman"/>
        </w:rPr>
        <w:t>La constitution ivoirienne du 1</w:t>
      </w:r>
      <w:r w:rsidRPr="00AE2F20">
        <w:rPr>
          <w:rFonts w:ascii="Times New Roman" w:hAnsi="Times New Roman"/>
          <w:vertAlign w:val="superscript"/>
        </w:rPr>
        <w:t>er</w:t>
      </w:r>
      <w:r w:rsidRPr="00AE2F20">
        <w:rPr>
          <w:rFonts w:ascii="Times New Roman" w:hAnsi="Times New Roman"/>
        </w:rPr>
        <w:t xml:space="preserve"> août 2000 en son art. 30.</w:t>
      </w:r>
    </w:p>
  </w:footnote>
  <w:footnote w:id="10">
    <w:p w14:paraId="029813EA" w14:textId="77777777" w:rsidR="00A55E49" w:rsidRPr="00AE2F20" w:rsidRDefault="00A55E49" w:rsidP="00A55E49">
      <w:pPr>
        <w:pStyle w:val="Notedebasdepage"/>
        <w:spacing w:after="120" w:line="240" w:lineRule="auto"/>
        <w:jc w:val="both"/>
        <w:rPr>
          <w:rFonts w:ascii="Times New Roman" w:hAnsi="Times New Roman"/>
        </w:rPr>
      </w:pPr>
      <w:r w:rsidRPr="00AE2F20">
        <w:rPr>
          <w:rStyle w:val="Appelnotedebasdep"/>
          <w:rFonts w:ascii="Times New Roman" w:hAnsi="Times New Roman"/>
        </w:rPr>
        <w:footnoteRef/>
      </w:r>
      <w:r w:rsidRPr="00AE2F20">
        <w:rPr>
          <w:rFonts w:ascii="Times New Roman" w:hAnsi="Times New Roman"/>
        </w:rPr>
        <w:t xml:space="preserve"> </w:t>
      </w:r>
      <w:r w:rsidRPr="00AE2F20">
        <w:rPr>
          <w:rFonts w:ascii="Times New Roman" w:hAnsi="Times New Roman"/>
        </w:rPr>
        <w:t>Art. 15 et 17 constitution 2000.</w:t>
      </w:r>
    </w:p>
  </w:footnote>
  <w:footnote w:id="11">
    <w:p w14:paraId="1F40BC32" w14:textId="77777777" w:rsidR="00A55E49" w:rsidRPr="00AE2F20" w:rsidRDefault="00A55E49" w:rsidP="00A55E49">
      <w:pPr>
        <w:pStyle w:val="Notedebasdepage"/>
        <w:spacing w:after="120" w:line="240" w:lineRule="auto"/>
        <w:jc w:val="both"/>
        <w:rPr>
          <w:rFonts w:ascii="Times New Roman" w:hAnsi="Times New Roman"/>
        </w:rPr>
      </w:pPr>
      <w:r w:rsidRPr="00AE2F20">
        <w:rPr>
          <w:rStyle w:val="Appelnotedebasdep"/>
          <w:rFonts w:ascii="Times New Roman" w:hAnsi="Times New Roman"/>
        </w:rPr>
        <w:footnoteRef/>
      </w:r>
      <w:r w:rsidRPr="00AE2F20">
        <w:rPr>
          <w:rFonts w:ascii="Times New Roman" w:hAnsi="Times New Roman"/>
        </w:rPr>
        <w:t xml:space="preserve"> </w:t>
      </w:r>
      <w:r w:rsidRPr="00AE2F20">
        <w:rPr>
          <w:rFonts w:ascii="Times New Roman" w:hAnsi="Times New Roman"/>
        </w:rPr>
        <w:t>Cour permanente d’arbitrage de la Haye, affaire des armateurs norvégiens du 13 octobre 1922 à propos de réquisition et saisies aux Etats-Unis par ces derniers de navires norvégiens au cours de la guerre (1914-1918).</w:t>
      </w:r>
    </w:p>
  </w:footnote>
  <w:footnote w:id="12">
    <w:p w14:paraId="118088E2" w14:textId="77777777" w:rsidR="00A55E49" w:rsidRPr="00AE2F20" w:rsidRDefault="00A55E49" w:rsidP="00A55E49">
      <w:pPr>
        <w:pStyle w:val="Notedebasdepage"/>
        <w:spacing w:after="120" w:line="240" w:lineRule="auto"/>
        <w:jc w:val="both"/>
        <w:rPr>
          <w:rFonts w:ascii="Times New Roman" w:hAnsi="Times New Roman"/>
        </w:rPr>
      </w:pPr>
      <w:r w:rsidRPr="00AE2F20">
        <w:rPr>
          <w:rStyle w:val="Appelnotedebasdep"/>
          <w:rFonts w:ascii="Times New Roman" w:hAnsi="Times New Roman"/>
        </w:rPr>
        <w:footnoteRef/>
      </w:r>
      <w:r w:rsidRPr="00AE2F20">
        <w:rPr>
          <w:rFonts w:ascii="Times New Roman" w:hAnsi="Times New Roman"/>
        </w:rPr>
        <w:t xml:space="preserve"> </w:t>
      </w:r>
      <w:r w:rsidRPr="00AE2F20">
        <w:rPr>
          <w:rFonts w:ascii="Times New Roman" w:hAnsi="Times New Roman"/>
        </w:rPr>
        <w:t>CPJI, arrêt du 25 mai 1926 relatif à certains intérêts allemands en H</w:t>
      </w:r>
      <w:r>
        <w:rPr>
          <w:rFonts w:ascii="Times New Roman" w:hAnsi="Times New Roman"/>
          <w:lang w:val="fr-FR"/>
        </w:rPr>
        <w:t>aute</w:t>
      </w:r>
      <w:r w:rsidRPr="00AE2F20">
        <w:rPr>
          <w:rFonts w:ascii="Times New Roman" w:hAnsi="Times New Roman"/>
        </w:rPr>
        <w:t>-Silésie Polonaise constate que le traitement général accordé est fondé sur le respect des droits acquis.</w:t>
      </w:r>
    </w:p>
  </w:footnote>
  <w:footnote w:id="13">
    <w:p w14:paraId="0B1011DC" w14:textId="77777777" w:rsidR="00A55E49" w:rsidRPr="00AE2F20" w:rsidRDefault="00A55E49" w:rsidP="00A55E49">
      <w:pPr>
        <w:pStyle w:val="Notedebasdepage"/>
        <w:spacing w:after="120" w:line="240" w:lineRule="auto"/>
        <w:jc w:val="both"/>
        <w:rPr>
          <w:rFonts w:ascii="Times New Roman" w:hAnsi="Times New Roman"/>
        </w:rPr>
      </w:pPr>
      <w:r w:rsidRPr="00AE2F20">
        <w:rPr>
          <w:rStyle w:val="Appelnotedebasdep"/>
          <w:rFonts w:ascii="Times New Roman" w:hAnsi="Times New Roman"/>
        </w:rPr>
        <w:footnoteRef/>
      </w:r>
      <w:r w:rsidRPr="00AE2F20">
        <w:rPr>
          <w:rFonts w:ascii="Times New Roman" w:hAnsi="Times New Roman"/>
        </w:rPr>
        <w:t xml:space="preserve"> </w:t>
      </w:r>
      <w:r w:rsidRPr="00AE2F20">
        <w:rPr>
          <w:rFonts w:ascii="Times New Roman" w:hAnsi="Times New Roman"/>
        </w:rPr>
        <w:t>Art. 23 de la constitution 2000.</w:t>
      </w:r>
    </w:p>
  </w:footnote>
  <w:footnote w:id="14">
    <w:p w14:paraId="0289CA8A" w14:textId="77777777" w:rsidR="00A55E49" w:rsidRPr="00AE2F20" w:rsidRDefault="00A55E49" w:rsidP="00A55E49">
      <w:pPr>
        <w:pStyle w:val="Notedebasdepage"/>
        <w:spacing w:after="120" w:line="240" w:lineRule="auto"/>
        <w:jc w:val="both"/>
        <w:rPr>
          <w:rFonts w:ascii="Times New Roman" w:hAnsi="Times New Roman"/>
        </w:rPr>
      </w:pPr>
      <w:r w:rsidRPr="00AE2F20">
        <w:rPr>
          <w:rStyle w:val="Appelnotedebasdep"/>
          <w:rFonts w:ascii="Times New Roman" w:hAnsi="Times New Roman"/>
        </w:rPr>
        <w:footnoteRef/>
      </w:r>
      <w:r w:rsidRPr="00AE2F20">
        <w:rPr>
          <w:rFonts w:ascii="Times New Roman" w:hAnsi="Times New Roman"/>
        </w:rPr>
        <w:t xml:space="preserve"> </w:t>
      </w:r>
      <w:r w:rsidRPr="00AE2F20">
        <w:rPr>
          <w:rFonts w:ascii="Times New Roman" w:hAnsi="Times New Roman"/>
        </w:rPr>
        <w:t>Art. 27 constitution 2000.</w:t>
      </w:r>
    </w:p>
  </w:footnote>
  <w:footnote w:id="15">
    <w:p w14:paraId="7B2BCAA6" w14:textId="77777777" w:rsidR="00A55E49" w:rsidRPr="00AE2F20" w:rsidRDefault="00A55E49" w:rsidP="00A55E49">
      <w:pPr>
        <w:pStyle w:val="Notedebasdepage"/>
        <w:spacing w:after="120" w:line="240" w:lineRule="auto"/>
        <w:jc w:val="both"/>
        <w:rPr>
          <w:rFonts w:ascii="Times New Roman" w:hAnsi="Times New Roman"/>
        </w:rPr>
      </w:pPr>
      <w:r w:rsidRPr="00AE2F20">
        <w:rPr>
          <w:rStyle w:val="Appelnotedebasdep"/>
          <w:rFonts w:ascii="Times New Roman" w:hAnsi="Times New Roman"/>
        </w:rPr>
        <w:footnoteRef/>
      </w:r>
      <w:r w:rsidRPr="00AE2F20">
        <w:rPr>
          <w:rFonts w:ascii="Times New Roman" w:hAnsi="Times New Roman"/>
        </w:rPr>
        <w:t xml:space="preserve"> </w:t>
      </w:r>
      <w:proofErr w:type="spellStart"/>
      <w:r w:rsidRPr="00AE2F20">
        <w:rPr>
          <w:rFonts w:ascii="Times New Roman" w:hAnsi="Times New Roman"/>
        </w:rPr>
        <w:t>Combacau</w:t>
      </w:r>
      <w:proofErr w:type="spellEnd"/>
      <w:r w:rsidRPr="00AE2F20">
        <w:rPr>
          <w:rFonts w:ascii="Times New Roman" w:hAnsi="Times New Roman"/>
        </w:rPr>
        <w:t xml:space="preserve"> Jean, Sur Serge, </w:t>
      </w:r>
      <w:r w:rsidRPr="00AE2F20">
        <w:rPr>
          <w:rFonts w:ascii="Times New Roman" w:hAnsi="Times New Roman"/>
          <w:i/>
        </w:rPr>
        <w:t>Droit international public</w:t>
      </w:r>
      <w:r w:rsidRPr="00AE2F20">
        <w:rPr>
          <w:rFonts w:ascii="Times New Roman" w:hAnsi="Times New Roman"/>
        </w:rPr>
        <w:t>, Paris, Montchrestien, 5è édition, 2001, p. 236.</w:t>
      </w:r>
    </w:p>
  </w:footnote>
  <w:footnote w:id="16">
    <w:p w14:paraId="5A0A3D30" w14:textId="77777777" w:rsidR="00A55E49" w:rsidRPr="00AE2F20" w:rsidRDefault="00A55E49" w:rsidP="00A55E49">
      <w:pPr>
        <w:pStyle w:val="Notedebasdepage"/>
        <w:spacing w:after="120" w:line="240" w:lineRule="auto"/>
        <w:jc w:val="both"/>
        <w:rPr>
          <w:rFonts w:ascii="Times New Roman" w:hAnsi="Times New Roman"/>
        </w:rPr>
      </w:pPr>
      <w:r w:rsidRPr="00AE2F20">
        <w:rPr>
          <w:rStyle w:val="Appelnotedebasdep"/>
          <w:rFonts w:ascii="Times New Roman" w:hAnsi="Times New Roman"/>
        </w:rPr>
        <w:footnoteRef/>
      </w:r>
      <w:r w:rsidRPr="00AE2F20">
        <w:rPr>
          <w:rFonts w:ascii="Times New Roman" w:hAnsi="Times New Roman"/>
        </w:rPr>
        <w:t xml:space="preserve"> </w:t>
      </w:r>
      <w:r w:rsidRPr="00AE2F20">
        <w:rPr>
          <w:rFonts w:ascii="Times New Roman" w:hAnsi="Times New Roman"/>
        </w:rPr>
        <w:t xml:space="preserve">La notion de convention d’établissement, en droit international, est réservée à une catégorie de traités par lesquels les Etats signataires autorisent les ressortissants de l’un d’eux à séjourner et à exercer leurs activités sur le territoire de l’autre. </w:t>
      </w:r>
    </w:p>
  </w:footnote>
  <w:footnote w:id="17">
    <w:p w14:paraId="55DA4728" w14:textId="77777777" w:rsidR="00A55E49" w:rsidRPr="00AE2F20" w:rsidRDefault="00A55E49" w:rsidP="00A55E49">
      <w:pPr>
        <w:pStyle w:val="Notedebasdepage"/>
        <w:spacing w:after="120" w:line="240" w:lineRule="auto"/>
        <w:jc w:val="both"/>
        <w:rPr>
          <w:rFonts w:ascii="Times New Roman" w:hAnsi="Times New Roman"/>
        </w:rPr>
      </w:pPr>
      <w:r w:rsidRPr="00AE2F20">
        <w:rPr>
          <w:rStyle w:val="Appelnotedebasdep"/>
          <w:rFonts w:ascii="Times New Roman" w:hAnsi="Times New Roman"/>
        </w:rPr>
        <w:footnoteRef/>
      </w:r>
      <w:r w:rsidRPr="00AE2F20">
        <w:rPr>
          <w:rFonts w:ascii="Times New Roman" w:hAnsi="Times New Roman"/>
        </w:rPr>
        <w:t xml:space="preserve"> </w:t>
      </w:r>
      <w:r w:rsidRPr="00AE2F20">
        <w:rPr>
          <w:rFonts w:ascii="Times New Roman" w:hAnsi="Times New Roman"/>
        </w:rPr>
        <w:t>Il s’agit des contrats conclus par l’Etat contractant et l’Etat national du cocontractant en vue de garantir les contrats que passent leurs ressortissants.</w:t>
      </w:r>
    </w:p>
  </w:footnote>
  <w:footnote w:id="18">
    <w:p w14:paraId="31E8B8E0" w14:textId="77777777" w:rsidR="00A55E49" w:rsidRPr="00AE2F20" w:rsidRDefault="00A55E49" w:rsidP="00A55E49">
      <w:pPr>
        <w:pStyle w:val="Notedebasdepage"/>
        <w:spacing w:after="120" w:line="240" w:lineRule="auto"/>
        <w:jc w:val="both"/>
        <w:rPr>
          <w:rFonts w:ascii="Times New Roman" w:hAnsi="Times New Roman"/>
        </w:rPr>
      </w:pPr>
      <w:r w:rsidRPr="00AE2F20">
        <w:rPr>
          <w:rStyle w:val="Appelnotedebasdep"/>
          <w:rFonts w:ascii="Times New Roman" w:hAnsi="Times New Roman"/>
        </w:rPr>
        <w:footnoteRef/>
      </w:r>
      <w:r w:rsidRPr="00AE2F20">
        <w:rPr>
          <w:rFonts w:ascii="Times New Roman" w:hAnsi="Times New Roman"/>
        </w:rPr>
        <w:t xml:space="preserve"> </w:t>
      </w:r>
      <w:r w:rsidRPr="00AE2F20">
        <w:rPr>
          <w:rFonts w:ascii="Times New Roman" w:hAnsi="Times New Roman"/>
        </w:rPr>
        <w:t>Ce fut le cas avec la convention d’établissement passée le 27 juin 1960 entre la France et Madagascar. Elle eut pour effets l’assimilation des français aux malgaches pour l’exercice de professions libérales, la participation aux attributions de marchés publics et d’obtention des autorisations administratives, le bénéfice de la législation du travail etc.</w:t>
      </w:r>
    </w:p>
  </w:footnote>
  <w:footnote w:id="19">
    <w:p w14:paraId="48094011" w14:textId="77777777" w:rsidR="00A55E49" w:rsidRPr="00AE2F20" w:rsidRDefault="00A55E49" w:rsidP="00A55E49">
      <w:pPr>
        <w:pStyle w:val="Notedebasdepage"/>
        <w:spacing w:after="120" w:line="240" w:lineRule="auto"/>
        <w:jc w:val="both"/>
        <w:rPr>
          <w:rFonts w:ascii="Times New Roman" w:hAnsi="Times New Roman"/>
        </w:rPr>
      </w:pPr>
      <w:r w:rsidRPr="00AE2F20">
        <w:rPr>
          <w:rStyle w:val="Appelnotedebasdep"/>
          <w:rFonts w:ascii="Times New Roman" w:hAnsi="Times New Roman"/>
        </w:rPr>
        <w:footnoteRef/>
      </w:r>
      <w:r w:rsidRPr="00AE2F20">
        <w:rPr>
          <w:rFonts w:ascii="Times New Roman" w:hAnsi="Times New Roman"/>
        </w:rPr>
        <w:t xml:space="preserve"> </w:t>
      </w:r>
      <w:r w:rsidRPr="00AE2F20">
        <w:rPr>
          <w:rFonts w:ascii="Times New Roman" w:hAnsi="Times New Roman"/>
        </w:rPr>
        <w:t xml:space="preserve">Voir Weil Prosper, </w:t>
      </w:r>
      <w:r w:rsidRPr="00AE2F20">
        <w:rPr>
          <w:rFonts w:ascii="Times New Roman" w:hAnsi="Times New Roman"/>
          <w:i/>
        </w:rPr>
        <w:t>Problèmes relatifs aux contrats passés entre un Etat et un particulier</w:t>
      </w:r>
      <w:r w:rsidRPr="00AE2F20">
        <w:rPr>
          <w:rFonts w:ascii="Times New Roman" w:hAnsi="Times New Roman"/>
        </w:rPr>
        <w:t>, RCADI, 1969, T. 148, pp. 123-124</w:t>
      </w:r>
    </w:p>
  </w:footnote>
  <w:footnote w:id="20">
    <w:p w14:paraId="25EBAC16" w14:textId="77777777" w:rsidR="00A55E49" w:rsidRPr="00AE2F20" w:rsidRDefault="00A55E49" w:rsidP="00A55E49">
      <w:pPr>
        <w:pStyle w:val="Notedebasdepage"/>
        <w:spacing w:after="120" w:line="240" w:lineRule="auto"/>
        <w:jc w:val="both"/>
        <w:rPr>
          <w:rFonts w:ascii="Times New Roman" w:hAnsi="Times New Roman"/>
        </w:rPr>
      </w:pPr>
      <w:r w:rsidRPr="00AE2F20">
        <w:rPr>
          <w:rStyle w:val="Appelnotedebasdep"/>
          <w:rFonts w:ascii="Times New Roman" w:hAnsi="Times New Roman"/>
        </w:rPr>
        <w:footnoteRef/>
      </w:r>
      <w:r w:rsidRPr="00AE2F20">
        <w:rPr>
          <w:rFonts w:ascii="Times New Roman" w:hAnsi="Times New Roman"/>
        </w:rPr>
        <w:t xml:space="preserve"> </w:t>
      </w:r>
      <w:r w:rsidRPr="00AE2F20">
        <w:rPr>
          <w:rFonts w:ascii="Times New Roman" w:hAnsi="Times New Roman"/>
        </w:rPr>
        <w:t>Wengler Wilhem, « Les accords entre Etats et entreprises étrangères sont-ils des traités de droit international ? », RGDIP, 1972, pp. 335-336.</w:t>
      </w:r>
    </w:p>
  </w:footnote>
  <w:footnote w:id="21">
    <w:p w14:paraId="5D358EA6" w14:textId="77777777" w:rsidR="00A55E49" w:rsidRPr="00AE2F20" w:rsidRDefault="00A55E49" w:rsidP="00A55E49">
      <w:pPr>
        <w:pStyle w:val="Notedebasdepage"/>
        <w:spacing w:after="120" w:line="240" w:lineRule="auto"/>
        <w:jc w:val="both"/>
        <w:rPr>
          <w:rFonts w:ascii="Times New Roman" w:hAnsi="Times New Roman"/>
        </w:rPr>
      </w:pPr>
      <w:r w:rsidRPr="00AE2F20">
        <w:rPr>
          <w:rStyle w:val="Appelnotedebasdep"/>
          <w:rFonts w:ascii="Times New Roman" w:hAnsi="Times New Roman"/>
        </w:rPr>
        <w:footnoteRef/>
      </w:r>
      <w:r w:rsidRPr="00AE2F20">
        <w:rPr>
          <w:rFonts w:ascii="Times New Roman" w:hAnsi="Times New Roman"/>
        </w:rPr>
        <w:t xml:space="preserve"> </w:t>
      </w:r>
      <w:r w:rsidRPr="00AE2F20">
        <w:rPr>
          <w:rFonts w:ascii="Times New Roman" w:hAnsi="Times New Roman"/>
        </w:rPr>
        <w:t>CIJ, ordonnance du 15 déc. 1979, Rec. 1979, p. 19. Lire Giuliano, « Les relations et immunités diplomatiques, RCADI, 1960, vol. 100, pp. 80-202.</w:t>
      </w:r>
    </w:p>
  </w:footnote>
  <w:footnote w:id="22">
    <w:p w14:paraId="6AAE5B28" w14:textId="77777777" w:rsidR="00A55E49" w:rsidRPr="00AE2F20" w:rsidRDefault="00A55E49" w:rsidP="00A55E49">
      <w:pPr>
        <w:pStyle w:val="Notedebasdepage"/>
        <w:spacing w:after="120" w:line="240" w:lineRule="auto"/>
        <w:jc w:val="both"/>
        <w:rPr>
          <w:rFonts w:ascii="Times New Roman" w:hAnsi="Times New Roman"/>
        </w:rPr>
      </w:pPr>
      <w:r w:rsidRPr="00AE2F20">
        <w:rPr>
          <w:rStyle w:val="Appelnotedebasdep"/>
          <w:rFonts w:ascii="Times New Roman" w:hAnsi="Times New Roman"/>
        </w:rPr>
        <w:footnoteRef/>
      </w:r>
      <w:r w:rsidRPr="00AE2F20">
        <w:rPr>
          <w:rFonts w:ascii="Times New Roman" w:hAnsi="Times New Roman"/>
        </w:rPr>
        <w:t xml:space="preserve"> </w:t>
      </w:r>
      <w:r w:rsidRPr="00AE2F20">
        <w:rPr>
          <w:rFonts w:ascii="Times New Roman" w:hAnsi="Times New Roman"/>
        </w:rPr>
        <w:t>A propos des immunités et privilèges des consuls, voir Libéra, « Le fondement juridique des privilèges et immunités consulaires », RGDIP, 1959, pp. 434-477.</w:t>
      </w:r>
    </w:p>
  </w:footnote>
  <w:footnote w:id="23">
    <w:p w14:paraId="3DEBFA1A" w14:textId="77777777" w:rsidR="00A55E49" w:rsidRPr="00AE2F20" w:rsidRDefault="00A55E49" w:rsidP="00A55E49">
      <w:pPr>
        <w:pStyle w:val="Notedebasdepage"/>
        <w:spacing w:after="120" w:line="240" w:lineRule="auto"/>
        <w:jc w:val="both"/>
        <w:rPr>
          <w:rFonts w:ascii="Times New Roman" w:hAnsi="Times New Roman"/>
        </w:rPr>
      </w:pPr>
      <w:r w:rsidRPr="00AE2F20">
        <w:rPr>
          <w:rStyle w:val="Appelnotedebasdep"/>
          <w:rFonts w:ascii="Times New Roman" w:hAnsi="Times New Roman"/>
        </w:rPr>
        <w:footnoteRef/>
      </w:r>
      <w:r w:rsidRPr="00AE2F20">
        <w:rPr>
          <w:rFonts w:ascii="Times New Roman" w:hAnsi="Times New Roman"/>
        </w:rPr>
        <w:t xml:space="preserve"> </w:t>
      </w:r>
      <w:r w:rsidRPr="00AE2F20">
        <w:rPr>
          <w:rFonts w:ascii="Times New Roman" w:hAnsi="Times New Roman"/>
        </w:rPr>
        <w:t>Le national qui commet une infraction de droit commun à l’étranger ne saurait être extradé. Le devoir de protection des nationaux constitue un obstacle de facto à l’exercice de la compétence pénale de l’Etat réclamant.</w:t>
      </w:r>
    </w:p>
  </w:footnote>
  <w:footnote w:id="24">
    <w:p w14:paraId="20E698DB" w14:textId="77777777" w:rsidR="00A55E49" w:rsidRPr="00AE2F20" w:rsidRDefault="00A55E49" w:rsidP="00A55E49">
      <w:pPr>
        <w:pStyle w:val="Notedebasdepage"/>
        <w:spacing w:after="120" w:line="240" w:lineRule="auto"/>
        <w:jc w:val="both"/>
        <w:rPr>
          <w:rFonts w:ascii="Times New Roman" w:hAnsi="Times New Roman"/>
        </w:rPr>
      </w:pPr>
      <w:r w:rsidRPr="00AE2F20">
        <w:rPr>
          <w:rStyle w:val="Appelnotedebasdep"/>
          <w:rFonts w:ascii="Times New Roman" w:hAnsi="Times New Roman"/>
        </w:rPr>
        <w:footnoteRef/>
      </w:r>
      <w:r w:rsidRPr="00AE2F20">
        <w:rPr>
          <w:rFonts w:ascii="Times New Roman" w:hAnsi="Times New Roman"/>
        </w:rPr>
        <w:t xml:space="preserve"> </w:t>
      </w:r>
      <w:r w:rsidRPr="00AE2F20">
        <w:rPr>
          <w:rFonts w:ascii="Times New Roman" w:hAnsi="Times New Roman"/>
        </w:rPr>
        <w:t>Lire N’Guyen Quoc Dinh, Droit international public, Paris, LGDJ, 1987, p. 610.</w:t>
      </w:r>
    </w:p>
  </w:footnote>
  <w:footnote w:id="25">
    <w:p w14:paraId="4982C221" w14:textId="77777777" w:rsidR="00A55E49" w:rsidRPr="00AE2F20" w:rsidRDefault="00A55E49" w:rsidP="00A55E49">
      <w:pPr>
        <w:pStyle w:val="Notedebasdepage"/>
        <w:spacing w:after="120" w:line="240" w:lineRule="auto"/>
        <w:jc w:val="both"/>
        <w:rPr>
          <w:rFonts w:ascii="Times New Roman" w:hAnsi="Times New Roman"/>
        </w:rPr>
      </w:pPr>
      <w:r w:rsidRPr="00AE2F20">
        <w:rPr>
          <w:rStyle w:val="Appelnotedebasdep"/>
          <w:rFonts w:ascii="Times New Roman" w:hAnsi="Times New Roman"/>
        </w:rPr>
        <w:footnoteRef/>
      </w:r>
      <w:r w:rsidRPr="00AE2F20">
        <w:rPr>
          <w:rFonts w:ascii="Times New Roman" w:hAnsi="Times New Roman"/>
        </w:rPr>
        <w:t xml:space="preserve"> </w:t>
      </w:r>
      <w:r w:rsidRPr="00AE2F20">
        <w:rPr>
          <w:rFonts w:ascii="Times New Roman" w:hAnsi="Times New Roman"/>
        </w:rPr>
        <w:t xml:space="preserve">Cf. </w:t>
      </w:r>
      <w:r w:rsidRPr="00AE2F20">
        <w:rPr>
          <w:rFonts w:ascii="Times New Roman" w:hAnsi="Times New Roman"/>
          <w:i/>
        </w:rPr>
        <w:t>Journal du droit international</w:t>
      </w:r>
      <w:r w:rsidRPr="00AE2F20">
        <w:rPr>
          <w:rFonts w:ascii="Times New Roman" w:hAnsi="Times New Roman"/>
        </w:rPr>
        <w:t>, 1977, p. 367.</w:t>
      </w:r>
    </w:p>
  </w:footnote>
  <w:footnote w:id="26">
    <w:p w14:paraId="385E4B26" w14:textId="77777777" w:rsidR="00A55E49" w:rsidRPr="00AE2F20" w:rsidRDefault="00A55E49" w:rsidP="00A55E49">
      <w:pPr>
        <w:pStyle w:val="Notedebasdepage"/>
        <w:spacing w:after="120" w:line="240" w:lineRule="auto"/>
        <w:jc w:val="both"/>
        <w:rPr>
          <w:rFonts w:ascii="Times New Roman" w:hAnsi="Times New Roman"/>
        </w:rPr>
      </w:pPr>
      <w:r w:rsidRPr="00AE2F20">
        <w:rPr>
          <w:rStyle w:val="Appelnotedebasdep"/>
          <w:rFonts w:ascii="Times New Roman" w:hAnsi="Times New Roman"/>
        </w:rPr>
        <w:footnoteRef/>
      </w:r>
      <w:r w:rsidRPr="00AE2F20">
        <w:rPr>
          <w:rFonts w:ascii="Times New Roman" w:hAnsi="Times New Roman"/>
        </w:rPr>
        <w:t xml:space="preserve"> </w:t>
      </w:r>
      <w:r w:rsidRPr="00AE2F20">
        <w:rPr>
          <w:rFonts w:ascii="Times New Roman" w:hAnsi="Times New Roman"/>
        </w:rPr>
        <w:t xml:space="preserve">Sur Serge, </w:t>
      </w:r>
      <w:r w:rsidRPr="00AE2F20">
        <w:rPr>
          <w:rFonts w:ascii="Times New Roman" w:hAnsi="Times New Roman"/>
          <w:i/>
        </w:rPr>
        <w:t>Relations internationales</w:t>
      </w:r>
      <w:r w:rsidRPr="00AE2F20">
        <w:rPr>
          <w:rFonts w:ascii="Times New Roman" w:hAnsi="Times New Roman"/>
        </w:rPr>
        <w:t>, Paris, Montchrestien, 1995, pp. 211-214.</w:t>
      </w:r>
    </w:p>
  </w:footnote>
  <w:footnote w:id="27">
    <w:p w14:paraId="1475BE82" w14:textId="77777777" w:rsidR="00A55E49" w:rsidRPr="00AE2F20" w:rsidRDefault="00A55E49" w:rsidP="00A55E49">
      <w:pPr>
        <w:pStyle w:val="Notedebasdepage"/>
        <w:spacing w:after="120" w:line="240" w:lineRule="auto"/>
        <w:jc w:val="both"/>
        <w:rPr>
          <w:rFonts w:ascii="Times New Roman" w:hAnsi="Times New Roman"/>
        </w:rPr>
      </w:pPr>
      <w:r w:rsidRPr="00AE2F20">
        <w:rPr>
          <w:rStyle w:val="Appelnotedebasdep"/>
          <w:rFonts w:ascii="Times New Roman" w:hAnsi="Times New Roman"/>
        </w:rPr>
        <w:footnoteRef/>
      </w:r>
      <w:r w:rsidRPr="00AE2F20">
        <w:rPr>
          <w:rFonts w:ascii="Times New Roman" w:hAnsi="Times New Roman"/>
        </w:rPr>
        <w:t xml:space="preserve"> </w:t>
      </w:r>
      <w:r w:rsidRPr="00AE2F20">
        <w:rPr>
          <w:rFonts w:ascii="Times New Roman" w:hAnsi="Times New Roman"/>
        </w:rPr>
        <w:t xml:space="preserve">Dupuy René-Jean, Le droit international, </w:t>
      </w:r>
    </w:p>
  </w:footnote>
  <w:footnote w:id="28">
    <w:p w14:paraId="041A4291" w14:textId="77777777" w:rsidR="00A55E49" w:rsidRPr="00AE2F20" w:rsidRDefault="00A55E49" w:rsidP="00A55E49">
      <w:pPr>
        <w:pStyle w:val="Notedebasdepage"/>
        <w:spacing w:after="120" w:line="240" w:lineRule="auto"/>
        <w:jc w:val="both"/>
        <w:rPr>
          <w:rFonts w:ascii="Times New Roman" w:hAnsi="Times New Roman"/>
        </w:rPr>
      </w:pPr>
      <w:r w:rsidRPr="00AE2F20">
        <w:rPr>
          <w:rStyle w:val="Appelnotedebasdep"/>
          <w:rFonts w:ascii="Times New Roman" w:hAnsi="Times New Roman"/>
        </w:rPr>
        <w:footnoteRef/>
      </w:r>
      <w:r w:rsidRPr="00AE2F20">
        <w:rPr>
          <w:rFonts w:ascii="Times New Roman" w:hAnsi="Times New Roman"/>
        </w:rPr>
        <w:t xml:space="preserve"> </w:t>
      </w:r>
      <w:proofErr w:type="spellStart"/>
      <w:r w:rsidRPr="00AE2F20">
        <w:rPr>
          <w:rFonts w:ascii="Times New Roman" w:hAnsi="Times New Roman"/>
        </w:rPr>
        <w:t>Combacau</w:t>
      </w:r>
      <w:proofErr w:type="spellEnd"/>
      <w:r w:rsidRPr="00AE2F20">
        <w:rPr>
          <w:rFonts w:ascii="Times New Roman" w:hAnsi="Times New Roman"/>
        </w:rPr>
        <w:t xml:space="preserve"> J., Sur S., </w:t>
      </w:r>
      <w:r w:rsidRPr="00AE2F20">
        <w:rPr>
          <w:rFonts w:ascii="Times New Roman" w:hAnsi="Times New Roman"/>
          <w:i/>
        </w:rPr>
        <w:t>Droit international public</w:t>
      </w:r>
      <w:r w:rsidRPr="00AE2F20">
        <w:rPr>
          <w:rFonts w:ascii="Times New Roman" w:hAnsi="Times New Roman"/>
        </w:rPr>
        <w:t xml:space="preserve">, op. </w:t>
      </w:r>
      <w:proofErr w:type="spellStart"/>
      <w:r w:rsidRPr="00AE2F20">
        <w:rPr>
          <w:rFonts w:ascii="Times New Roman" w:hAnsi="Times New Roman"/>
        </w:rPr>
        <w:t>cit</w:t>
      </w:r>
      <w:proofErr w:type="spellEnd"/>
      <w:r w:rsidRPr="00AE2F20">
        <w:rPr>
          <w:rFonts w:ascii="Times New Roman" w:hAnsi="Times New Roman"/>
        </w:rPr>
        <w:t>., p. 285.</w:t>
      </w:r>
    </w:p>
  </w:footnote>
  <w:footnote w:id="29">
    <w:p w14:paraId="7E787722" w14:textId="77777777" w:rsidR="00A55E49" w:rsidRPr="00AE2F20" w:rsidRDefault="00A55E49" w:rsidP="00A55E49">
      <w:pPr>
        <w:pStyle w:val="Notedebasdepage"/>
        <w:spacing w:after="120" w:line="240" w:lineRule="auto"/>
        <w:jc w:val="both"/>
        <w:rPr>
          <w:rFonts w:ascii="Times New Roman" w:hAnsi="Times New Roman"/>
        </w:rPr>
      </w:pPr>
      <w:r w:rsidRPr="00AE2F20">
        <w:rPr>
          <w:rStyle w:val="Appelnotedebasdep"/>
          <w:rFonts w:ascii="Times New Roman" w:hAnsi="Times New Roman"/>
        </w:rPr>
        <w:footnoteRef/>
      </w:r>
      <w:r w:rsidRPr="00AE2F20">
        <w:rPr>
          <w:rFonts w:ascii="Times New Roman" w:hAnsi="Times New Roman"/>
        </w:rPr>
        <w:t xml:space="preserve"> </w:t>
      </w:r>
      <w:r w:rsidRPr="00AE2F20">
        <w:rPr>
          <w:rFonts w:ascii="Times New Roman" w:hAnsi="Times New Roman"/>
        </w:rPr>
        <w:t xml:space="preserve">La notion de sous-développement ne peut être séparée de la domination et de l’impérialisme.  Développement et sous-développement sont des phénomènes évolutifs, liés et qui s’expliquent l’un par l’autre. Franck Gunder, </w:t>
      </w:r>
      <w:r w:rsidRPr="00AE2F20">
        <w:rPr>
          <w:rFonts w:ascii="Times New Roman" w:hAnsi="Times New Roman"/>
          <w:i/>
        </w:rPr>
        <w:t>Le développement du sous-développement de l’Amérique latine</w:t>
      </w:r>
      <w:r w:rsidRPr="00AE2F20">
        <w:rPr>
          <w:rFonts w:ascii="Times New Roman" w:hAnsi="Times New Roman"/>
        </w:rPr>
        <w:t xml:space="preserve">, Paris, </w:t>
      </w:r>
      <w:proofErr w:type="spellStart"/>
      <w:r w:rsidRPr="00AE2F20">
        <w:rPr>
          <w:rFonts w:ascii="Times New Roman" w:hAnsi="Times New Roman"/>
        </w:rPr>
        <w:t>Maspéro</w:t>
      </w:r>
      <w:proofErr w:type="spellEnd"/>
      <w:r w:rsidRPr="00AE2F20">
        <w:rPr>
          <w:rFonts w:ascii="Times New Roman" w:hAnsi="Times New Roman"/>
        </w:rPr>
        <w:t xml:space="preserve">, 1972 ; Pellet Alain, </w:t>
      </w:r>
      <w:r w:rsidRPr="00AE2F20">
        <w:rPr>
          <w:rFonts w:ascii="Times New Roman" w:hAnsi="Times New Roman"/>
          <w:i/>
        </w:rPr>
        <w:t>Droit international du développement</w:t>
      </w:r>
      <w:r w:rsidRPr="00AE2F20">
        <w:rPr>
          <w:rFonts w:ascii="Times New Roman" w:hAnsi="Times New Roman"/>
        </w:rPr>
        <w:t>, Que sais-je ? n° 1731, PUF, 1978.</w:t>
      </w:r>
    </w:p>
  </w:footnote>
  <w:footnote w:id="30">
    <w:p w14:paraId="6E7F57F9" w14:textId="77777777" w:rsidR="00A55E49" w:rsidRPr="00AE2F20" w:rsidRDefault="00A55E49" w:rsidP="00A55E49">
      <w:pPr>
        <w:pStyle w:val="Notedebasdepage"/>
        <w:spacing w:after="120" w:line="240" w:lineRule="auto"/>
        <w:jc w:val="both"/>
        <w:rPr>
          <w:rFonts w:ascii="Times New Roman" w:hAnsi="Times New Roman"/>
        </w:rPr>
      </w:pPr>
      <w:r w:rsidRPr="00AE2F20">
        <w:rPr>
          <w:rStyle w:val="Appelnotedebasdep"/>
          <w:rFonts w:ascii="Times New Roman" w:hAnsi="Times New Roman"/>
        </w:rPr>
        <w:footnoteRef/>
      </w:r>
      <w:r w:rsidRPr="00AE2F20">
        <w:rPr>
          <w:rFonts w:ascii="Times New Roman" w:hAnsi="Times New Roman"/>
        </w:rPr>
        <w:t xml:space="preserve"> </w:t>
      </w:r>
      <w:r w:rsidRPr="00AE2F20">
        <w:rPr>
          <w:rFonts w:ascii="Times New Roman" w:hAnsi="Times New Roman"/>
        </w:rPr>
        <w:t xml:space="preserve">Adoption d’un régime démocratique avec le multipartisme et la compétition politique. </w:t>
      </w:r>
    </w:p>
  </w:footnote>
  <w:footnote w:id="31">
    <w:p w14:paraId="265ED8C8" w14:textId="77777777" w:rsidR="00A55E49" w:rsidRPr="00AE2F20" w:rsidRDefault="00A55E49" w:rsidP="00A55E49">
      <w:pPr>
        <w:pStyle w:val="Notedebasdepage"/>
        <w:spacing w:after="120" w:line="240" w:lineRule="auto"/>
        <w:jc w:val="both"/>
        <w:rPr>
          <w:rFonts w:ascii="Times New Roman" w:hAnsi="Times New Roman"/>
        </w:rPr>
      </w:pPr>
      <w:r w:rsidRPr="00AE2F20">
        <w:rPr>
          <w:rStyle w:val="Appelnotedebasdep"/>
          <w:rFonts w:ascii="Times New Roman" w:hAnsi="Times New Roman"/>
        </w:rPr>
        <w:footnoteRef/>
      </w:r>
      <w:r w:rsidRPr="00AE2F20">
        <w:rPr>
          <w:rFonts w:ascii="Times New Roman" w:hAnsi="Times New Roman"/>
        </w:rPr>
        <w:t xml:space="preserve"> </w:t>
      </w:r>
      <w:r w:rsidRPr="00AE2F20">
        <w:rPr>
          <w:rFonts w:ascii="Times New Roman" w:hAnsi="Times New Roman"/>
        </w:rPr>
        <w:t xml:space="preserve">Marquée par la nouvelle loi sur l’entreprise privée et l’introduction de l’économie de marché, autrement dit un marché intérieur et extérieur ouvert à la concurrence ; la propriété privée des moyens de production. </w:t>
      </w:r>
    </w:p>
  </w:footnote>
  <w:footnote w:id="32">
    <w:p w14:paraId="1FAF24BC" w14:textId="77777777" w:rsidR="00A55E49" w:rsidRPr="00AE2F20" w:rsidRDefault="00A55E49" w:rsidP="00A55E49">
      <w:pPr>
        <w:pStyle w:val="Notedebasdepage"/>
        <w:spacing w:after="120" w:line="240" w:lineRule="auto"/>
        <w:jc w:val="both"/>
        <w:rPr>
          <w:rFonts w:ascii="Times New Roman" w:hAnsi="Times New Roman"/>
        </w:rPr>
      </w:pPr>
      <w:r w:rsidRPr="00AE2F20">
        <w:rPr>
          <w:rStyle w:val="Appelnotedebasdep"/>
          <w:rFonts w:ascii="Times New Roman" w:hAnsi="Times New Roman"/>
        </w:rPr>
        <w:footnoteRef/>
      </w:r>
      <w:r w:rsidRPr="00AE2F20">
        <w:rPr>
          <w:rFonts w:ascii="Times New Roman" w:hAnsi="Times New Roman"/>
        </w:rPr>
        <w:t xml:space="preserve"> </w:t>
      </w:r>
      <w:r w:rsidRPr="00AE2F20">
        <w:rPr>
          <w:rFonts w:ascii="Times New Roman" w:hAnsi="Times New Roman"/>
        </w:rPr>
        <w:t xml:space="preserve">La perestroïka prône l’apaisement des relations internationales, la coexistence pacifique. C’est également, le désarmement et la coopération internationale. En 1986, Gorbatchev annonça la reprise des relations avec la Chine et les pays asiatiques. En décembre 1987, la signature avec le président américain Reagan du traité sur le démantèlement des forces nucléaires intermédiaires (FNI). La même année, le secrétaire d’Etat du Vatican, Mgr Casaroli, est reçu par Gorbatchev. Il met fin à la présence soviétique en Afghanistan et en Ethiopie. Il se rapproche des pays arabes et entreprend une normalisation des relations avec Israël.  </w:t>
      </w:r>
    </w:p>
  </w:footnote>
  <w:footnote w:id="33">
    <w:p w14:paraId="1D20FCFE" w14:textId="77777777" w:rsidR="00A55E49" w:rsidRPr="00AE2F20" w:rsidRDefault="00A55E49" w:rsidP="00A55E49">
      <w:pPr>
        <w:pStyle w:val="Notedebasdepage"/>
        <w:spacing w:after="120" w:line="240" w:lineRule="auto"/>
        <w:jc w:val="both"/>
        <w:rPr>
          <w:rFonts w:ascii="Times New Roman" w:hAnsi="Times New Roman"/>
        </w:rPr>
      </w:pPr>
      <w:r w:rsidRPr="00AE2F20">
        <w:rPr>
          <w:rStyle w:val="Appelnotedebasdep"/>
          <w:rFonts w:ascii="Times New Roman" w:hAnsi="Times New Roman"/>
        </w:rPr>
        <w:footnoteRef/>
      </w:r>
      <w:r w:rsidRPr="00AE2F20">
        <w:rPr>
          <w:rFonts w:ascii="Times New Roman" w:hAnsi="Times New Roman"/>
        </w:rPr>
        <w:t xml:space="preserve"> </w:t>
      </w:r>
      <w:r w:rsidRPr="00AE2F20">
        <w:rPr>
          <w:rFonts w:ascii="Times New Roman" w:hAnsi="Times New Roman"/>
        </w:rPr>
        <w:t xml:space="preserve">« glasnost » veut dire transparence, vérité dans la gestion des affaires publiques et privées. Il signifie également l’ouverture à la critique publique. La presse devient plus libre. </w:t>
      </w:r>
    </w:p>
  </w:footnote>
  <w:footnote w:id="34">
    <w:p w14:paraId="159654B3" w14:textId="77777777" w:rsidR="00A55E49" w:rsidRPr="00AE2F20" w:rsidRDefault="00A55E49" w:rsidP="00A55E49">
      <w:pPr>
        <w:pStyle w:val="Notedebasdepage"/>
        <w:spacing w:after="120" w:line="240" w:lineRule="auto"/>
        <w:jc w:val="both"/>
        <w:rPr>
          <w:rFonts w:ascii="Times New Roman" w:hAnsi="Times New Roman"/>
        </w:rPr>
      </w:pPr>
      <w:r w:rsidRPr="00AE2F20">
        <w:rPr>
          <w:rStyle w:val="Appelnotedebasdep"/>
          <w:rFonts w:ascii="Times New Roman" w:hAnsi="Times New Roman"/>
        </w:rPr>
        <w:footnoteRef/>
      </w:r>
      <w:r w:rsidRPr="00AE2F20">
        <w:rPr>
          <w:rFonts w:ascii="Times New Roman" w:hAnsi="Times New Roman"/>
        </w:rPr>
        <w:t xml:space="preserve"> </w:t>
      </w:r>
      <w:r w:rsidRPr="00AE2F20">
        <w:rPr>
          <w:rFonts w:ascii="Times New Roman" w:hAnsi="Times New Roman"/>
        </w:rPr>
        <w:t xml:space="preserve">« L’URSS de la Perestroïka », </w:t>
      </w:r>
      <w:r w:rsidRPr="00AE2F20">
        <w:rPr>
          <w:rFonts w:ascii="Times New Roman" w:hAnsi="Times New Roman"/>
          <w:i/>
        </w:rPr>
        <w:t>Le Monde</w:t>
      </w:r>
      <w:r w:rsidRPr="00AE2F20">
        <w:rPr>
          <w:rFonts w:ascii="Times New Roman" w:hAnsi="Times New Roman"/>
        </w:rPr>
        <w:t>, numéro spécial, Avril 1989.</w:t>
      </w:r>
    </w:p>
  </w:footnote>
  <w:footnote w:id="35">
    <w:p w14:paraId="433C01E3" w14:textId="77777777" w:rsidR="00A55E49" w:rsidRPr="00AE2F20" w:rsidRDefault="00A55E49" w:rsidP="00A55E49">
      <w:pPr>
        <w:pStyle w:val="Notedebasdepage"/>
        <w:spacing w:after="120" w:line="240" w:lineRule="auto"/>
        <w:jc w:val="both"/>
        <w:rPr>
          <w:rFonts w:ascii="Times New Roman" w:hAnsi="Times New Roman"/>
        </w:rPr>
      </w:pPr>
      <w:r w:rsidRPr="00AE2F20">
        <w:rPr>
          <w:rStyle w:val="Appelnotedebasdep"/>
          <w:rFonts w:ascii="Times New Roman" w:hAnsi="Times New Roman"/>
        </w:rPr>
        <w:footnoteRef/>
      </w:r>
      <w:r w:rsidRPr="00AE2F20">
        <w:rPr>
          <w:rFonts w:ascii="Times New Roman" w:hAnsi="Times New Roman"/>
        </w:rPr>
        <w:t xml:space="preserve"> </w:t>
      </w:r>
      <w:r w:rsidRPr="00AE2F20">
        <w:rPr>
          <w:rFonts w:ascii="Times New Roman" w:hAnsi="Times New Roman"/>
        </w:rPr>
        <w:t>Les pays baltes (Lettonie, Estonie, Lituanie). L’Arménie et l’Azerbaïdjan se soulevèrent en 1987 et 1989.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2F1942"/>
    <w:multiLevelType w:val="hybridMultilevel"/>
    <w:tmpl w:val="F81608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520548A0"/>
    <w:multiLevelType w:val="hybridMultilevel"/>
    <w:tmpl w:val="6ADAC2C6"/>
    <w:lvl w:ilvl="0" w:tplc="813E9592">
      <w:numFmt w:val="bullet"/>
      <w:lvlText w:val="-"/>
      <w:lvlJc w:val="left"/>
      <w:pPr>
        <w:ind w:left="1065" w:hanging="360"/>
      </w:pPr>
      <w:rPr>
        <w:rFonts w:ascii="Times New Roman" w:eastAsia="Calibri"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2" w15:restartNumberingAfterBreak="0">
    <w:nsid w:val="732D56C4"/>
    <w:multiLevelType w:val="hybridMultilevel"/>
    <w:tmpl w:val="182EDD2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747752F8"/>
    <w:multiLevelType w:val="hybridMultilevel"/>
    <w:tmpl w:val="B0AE9CA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799945B3"/>
    <w:multiLevelType w:val="hybridMultilevel"/>
    <w:tmpl w:val="982AFA28"/>
    <w:lvl w:ilvl="0" w:tplc="040C0013">
      <w:start w:val="1"/>
      <w:numFmt w:val="upp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7E24738A"/>
    <w:multiLevelType w:val="hybridMultilevel"/>
    <w:tmpl w:val="AA74C3C8"/>
    <w:lvl w:ilvl="0" w:tplc="921E0B58">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25592106">
    <w:abstractNumId w:val="5"/>
  </w:num>
  <w:num w:numId="2" w16cid:durableId="825046959">
    <w:abstractNumId w:val="1"/>
  </w:num>
  <w:num w:numId="3" w16cid:durableId="882054805">
    <w:abstractNumId w:val="2"/>
  </w:num>
  <w:num w:numId="4" w16cid:durableId="875579759">
    <w:abstractNumId w:val="3"/>
  </w:num>
  <w:num w:numId="5" w16cid:durableId="1626814844">
    <w:abstractNumId w:val="0"/>
  </w:num>
  <w:num w:numId="6" w16cid:durableId="14558252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E49"/>
    <w:rsid w:val="003C3FA2"/>
    <w:rsid w:val="009718FB"/>
    <w:rsid w:val="00A55E49"/>
  </w:rsids>
  <m:mathPr>
    <m:mathFont m:val="Cambria Math"/>
    <m:brkBin m:val="before"/>
    <m:brkBinSub m:val="--"/>
    <m:smallFrac m:val="0"/>
    <m:dispDef/>
    <m:lMargin m:val="0"/>
    <m:rMargin m:val="0"/>
    <m:defJc m:val="centerGroup"/>
    <m:wrapIndent m:val="1440"/>
    <m:intLim m:val="subSup"/>
    <m:naryLim m:val="undOvr"/>
  </m:mathPr>
  <w:themeFontLang w:val="fr-C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07D23"/>
  <w15:chartTrackingRefBased/>
  <w15:docId w15:val="{69F1F76B-237E-4B1C-A395-9FCFDB60E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E49"/>
    <w:pPr>
      <w:spacing w:after="200" w:line="276" w:lineRule="auto"/>
    </w:pPr>
    <w:rPr>
      <w:rFonts w:ascii="Calibri" w:eastAsia="Calibri" w:hAnsi="Calibri" w:cs="Times New Roman"/>
      <w:kern w:val="0"/>
      <w:sz w:val="22"/>
      <w:szCs w:val="22"/>
      <w:lang w:val="fr-FR"/>
      <w14:ligatures w14:val="none"/>
    </w:rPr>
  </w:style>
  <w:style w:type="paragraph" w:styleId="Titre1">
    <w:name w:val="heading 1"/>
    <w:basedOn w:val="Normal"/>
    <w:next w:val="Normal"/>
    <w:link w:val="Titre1Car"/>
    <w:uiPriority w:val="9"/>
    <w:qFormat/>
    <w:rsid w:val="00A55E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55E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55E4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55E4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55E4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55E4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55E4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55E4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55E4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55E4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55E4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55E4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55E4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55E4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55E4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55E4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55E4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55E49"/>
    <w:rPr>
      <w:rFonts w:eastAsiaTheme="majorEastAsia" w:cstheme="majorBidi"/>
      <w:color w:val="272727" w:themeColor="text1" w:themeTint="D8"/>
    </w:rPr>
  </w:style>
  <w:style w:type="paragraph" w:styleId="Titre">
    <w:name w:val="Title"/>
    <w:basedOn w:val="Normal"/>
    <w:next w:val="Normal"/>
    <w:link w:val="TitreCar"/>
    <w:uiPriority w:val="10"/>
    <w:qFormat/>
    <w:rsid w:val="00A55E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55E4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55E4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55E4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55E49"/>
    <w:pPr>
      <w:spacing w:before="160"/>
      <w:jc w:val="center"/>
    </w:pPr>
    <w:rPr>
      <w:i/>
      <w:iCs/>
      <w:color w:val="404040" w:themeColor="text1" w:themeTint="BF"/>
    </w:rPr>
  </w:style>
  <w:style w:type="character" w:customStyle="1" w:styleId="CitationCar">
    <w:name w:val="Citation Car"/>
    <w:basedOn w:val="Policepardfaut"/>
    <w:link w:val="Citation"/>
    <w:uiPriority w:val="29"/>
    <w:rsid w:val="00A55E49"/>
    <w:rPr>
      <w:i/>
      <w:iCs/>
      <w:color w:val="404040" w:themeColor="text1" w:themeTint="BF"/>
    </w:rPr>
  </w:style>
  <w:style w:type="paragraph" w:styleId="Paragraphedeliste">
    <w:name w:val="List Paragraph"/>
    <w:basedOn w:val="Normal"/>
    <w:uiPriority w:val="34"/>
    <w:qFormat/>
    <w:rsid w:val="00A55E49"/>
    <w:pPr>
      <w:ind w:left="720"/>
      <w:contextualSpacing/>
    </w:pPr>
  </w:style>
  <w:style w:type="character" w:styleId="Accentuationintense">
    <w:name w:val="Intense Emphasis"/>
    <w:basedOn w:val="Policepardfaut"/>
    <w:uiPriority w:val="21"/>
    <w:qFormat/>
    <w:rsid w:val="00A55E49"/>
    <w:rPr>
      <w:i/>
      <w:iCs/>
      <w:color w:val="0F4761" w:themeColor="accent1" w:themeShade="BF"/>
    </w:rPr>
  </w:style>
  <w:style w:type="paragraph" w:styleId="Citationintense">
    <w:name w:val="Intense Quote"/>
    <w:basedOn w:val="Normal"/>
    <w:next w:val="Normal"/>
    <w:link w:val="CitationintenseCar"/>
    <w:uiPriority w:val="30"/>
    <w:qFormat/>
    <w:rsid w:val="00A55E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55E49"/>
    <w:rPr>
      <w:i/>
      <w:iCs/>
      <w:color w:val="0F4761" w:themeColor="accent1" w:themeShade="BF"/>
    </w:rPr>
  </w:style>
  <w:style w:type="character" w:styleId="Rfrenceintense">
    <w:name w:val="Intense Reference"/>
    <w:basedOn w:val="Policepardfaut"/>
    <w:uiPriority w:val="32"/>
    <w:qFormat/>
    <w:rsid w:val="00A55E49"/>
    <w:rPr>
      <w:b/>
      <w:bCs/>
      <w:smallCaps/>
      <w:color w:val="0F4761" w:themeColor="accent1" w:themeShade="BF"/>
      <w:spacing w:val="5"/>
    </w:rPr>
  </w:style>
  <w:style w:type="paragraph" w:styleId="Notedebasdepage">
    <w:name w:val="footnote text"/>
    <w:basedOn w:val="Normal"/>
    <w:link w:val="NotedebasdepageCar"/>
    <w:uiPriority w:val="99"/>
    <w:semiHidden/>
    <w:unhideWhenUsed/>
    <w:rsid w:val="00A55E49"/>
    <w:rPr>
      <w:sz w:val="20"/>
      <w:szCs w:val="20"/>
      <w:lang w:val="x-none"/>
    </w:rPr>
  </w:style>
  <w:style w:type="character" w:customStyle="1" w:styleId="NotedebasdepageCar">
    <w:name w:val="Note de bas de page Car"/>
    <w:basedOn w:val="Policepardfaut"/>
    <w:link w:val="Notedebasdepage"/>
    <w:uiPriority w:val="99"/>
    <w:semiHidden/>
    <w:rsid w:val="00A55E49"/>
    <w:rPr>
      <w:rFonts w:ascii="Calibri" w:eastAsia="Calibri" w:hAnsi="Calibri" w:cs="Times New Roman"/>
      <w:kern w:val="0"/>
      <w:sz w:val="20"/>
      <w:szCs w:val="20"/>
      <w:lang w:val="x-none"/>
      <w14:ligatures w14:val="none"/>
    </w:rPr>
  </w:style>
  <w:style w:type="character" w:styleId="Appelnotedebasdep">
    <w:name w:val="footnote reference"/>
    <w:uiPriority w:val="99"/>
    <w:semiHidden/>
    <w:unhideWhenUsed/>
    <w:rsid w:val="00A55E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19</Pages>
  <Words>6106</Words>
  <Characters>33585</Characters>
  <Application>Microsoft Office Word</Application>
  <DocSecurity>0</DocSecurity>
  <Lines>279</Lines>
  <Paragraphs>79</Paragraphs>
  <ScaleCrop>false</ScaleCrop>
  <Company/>
  <LinksUpToDate>false</LinksUpToDate>
  <CharactersWithSpaces>39612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Brahima Lengani</dc:creator>
  <cp:keywords/>
  <dc:description/>
  <cp:lastModifiedBy>Brahima Lengani</cp:lastModifiedBy>
  <cp:revision>1</cp:revision>
  <dcterms:created xsi:type="dcterms:W3CDTF">2026-08-19T00:25:00Z</dcterms:created>
  <dcterms:modified xsi:type="dcterms:W3CDTF">2026-08-19T00:30:00Z</dcterms:modified>
</cp:coreProperties>
</file>